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71BD" w14:textId="77777777" w:rsidR="00F658FE" w:rsidRDefault="00F658FE" w:rsidP="00326A54">
      <w:pPr>
        <w:ind w:firstLine="0"/>
      </w:pPr>
    </w:p>
    <w:p w14:paraId="395FFBA4" w14:textId="77777777" w:rsidR="00F658FE" w:rsidRDefault="00F658FE" w:rsidP="00326A54">
      <w:pPr>
        <w:ind w:firstLine="0"/>
      </w:pPr>
    </w:p>
    <w:p w14:paraId="6A271F2E" w14:textId="77777777" w:rsidR="00F658FE" w:rsidRDefault="00F658FE" w:rsidP="00326A54">
      <w:pPr>
        <w:ind w:firstLine="0"/>
      </w:pPr>
    </w:p>
    <w:tbl>
      <w:tblPr>
        <w:tblStyle w:val="TableGrid"/>
        <w:tblpPr w:leftFromText="180" w:rightFromText="180" w:vertAnchor="text" w:horzAnchor="page" w:tblpX="696" w:tblpY="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0F6B07" w:rsidRPr="00895589" w14:paraId="770AA6F2" w14:textId="77777777" w:rsidTr="00286104">
        <w:tc>
          <w:tcPr>
            <w:tcW w:w="2268" w:type="dxa"/>
          </w:tcPr>
          <w:p w14:paraId="5BE9E6C5" w14:textId="77777777" w:rsidR="000F6B07" w:rsidRPr="00895589" w:rsidRDefault="000F6B07" w:rsidP="00286104">
            <w:pPr>
              <w:ind w:firstLine="0"/>
              <w:jc w:val="left"/>
              <w:rPr>
                <w:b/>
                <w:bCs/>
                <w:sz w:val="20"/>
                <w:szCs w:val="20"/>
              </w:rPr>
            </w:pPr>
            <w:r w:rsidRPr="00895589">
              <w:rPr>
                <w:b/>
                <w:bCs/>
                <w:sz w:val="20"/>
                <w:szCs w:val="20"/>
              </w:rPr>
              <w:t>Research Horizon</w:t>
            </w:r>
          </w:p>
          <w:p w14:paraId="3746EF48" w14:textId="626F320F" w:rsidR="000F6B07" w:rsidRPr="00895589" w:rsidRDefault="000F6B07" w:rsidP="00286104">
            <w:pPr>
              <w:ind w:firstLine="0"/>
              <w:jc w:val="left"/>
              <w:rPr>
                <w:sz w:val="18"/>
                <w:szCs w:val="18"/>
              </w:rPr>
            </w:pPr>
            <w:r w:rsidRPr="00895589">
              <w:rPr>
                <w:sz w:val="18"/>
                <w:szCs w:val="18"/>
              </w:rPr>
              <w:t xml:space="preserve">Volume: </w:t>
            </w:r>
            <w:r w:rsidR="003C24F1">
              <w:rPr>
                <w:sz w:val="18"/>
                <w:szCs w:val="18"/>
              </w:rPr>
              <w:t>06</w:t>
            </w:r>
          </w:p>
          <w:p w14:paraId="37565D39" w14:textId="6485EB8C" w:rsidR="000F6B07" w:rsidRPr="00895589" w:rsidRDefault="000F6B07" w:rsidP="00286104">
            <w:pPr>
              <w:ind w:firstLine="0"/>
              <w:jc w:val="left"/>
              <w:rPr>
                <w:sz w:val="18"/>
                <w:szCs w:val="18"/>
              </w:rPr>
            </w:pPr>
            <w:r w:rsidRPr="00895589">
              <w:rPr>
                <w:sz w:val="18"/>
                <w:szCs w:val="18"/>
              </w:rPr>
              <w:t>Issu</w:t>
            </w:r>
            <w:r w:rsidR="007C6B8F" w:rsidRPr="00895589">
              <w:rPr>
                <w:sz w:val="18"/>
                <w:szCs w:val="18"/>
              </w:rPr>
              <w:t xml:space="preserve">e: </w:t>
            </w:r>
            <w:r w:rsidR="003C24F1">
              <w:rPr>
                <w:sz w:val="18"/>
                <w:szCs w:val="18"/>
              </w:rPr>
              <w:t>05</w:t>
            </w:r>
          </w:p>
          <w:p w14:paraId="074312CD" w14:textId="06347158" w:rsidR="000F6B07" w:rsidRPr="00895589" w:rsidRDefault="000F6B07" w:rsidP="00286104">
            <w:pPr>
              <w:ind w:firstLine="0"/>
              <w:jc w:val="left"/>
              <w:rPr>
                <w:sz w:val="18"/>
                <w:szCs w:val="18"/>
              </w:rPr>
            </w:pPr>
            <w:r w:rsidRPr="00895589">
              <w:rPr>
                <w:sz w:val="18"/>
                <w:szCs w:val="18"/>
              </w:rPr>
              <w:t xml:space="preserve">Year: </w:t>
            </w:r>
            <w:r w:rsidR="009B661F" w:rsidRPr="00895589">
              <w:rPr>
                <w:sz w:val="18"/>
                <w:szCs w:val="18"/>
              </w:rPr>
              <w:t>2026</w:t>
            </w:r>
          </w:p>
          <w:p w14:paraId="3334F3B4" w14:textId="0C63D02E" w:rsidR="000F6B07" w:rsidRPr="00895589" w:rsidRDefault="000F6B07" w:rsidP="00286104">
            <w:pPr>
              <w:ind w:firstLine="0"/>
              <w:jc w:val="left"/>
              <w:rPr>
                <w:sz w:val="18"/>
                <w:szCs w:val="18"/>
              </w:rPr>
            </w:pPr>
            <w:r w:rsidRPr="00895589">
              <w:rPr>
                <w:sz w:val="18"/>
                <w:szCs w:val="18"/>
              </w:rPr>
              <w:t>Page:</w:t>
            </w:r>
            <w:r w:rsidR="003C24F1">
              <w:t xml:space="preserve"> </w:t>
            </w:r>
            <w:r w:rsidR="003C24F1" w:rsidRPr="003C24F1">
              <w:rPr>
                <w:sz w:val="18"/>
                <w:szCs w:val="18"/>
              </w:rPr>
              <w:t>1465-1476</w:t>
            </w:r>
          </w:p>
          <w:p w14:paraId="75A1F816" w14:textId="77777777" w:rsidR="008A070E" w:rsidRPr="00895589" w:rsidRDefault="008A070E" w:rsidP="00286104">
            <w:pPr>
              <w:ind w:firstLine="0"/>
              <w:jc w:val="left"/>
              <w:rPr>
                <w:sz w:val="16"/>
                <w:szCs w:val="16"/>
              </w:rPr>
            </w:pPr>
          </w:p>
          <w:p w14:paraId="117600D5" w14:textId="77777777" w:rsidR="00CC5B3C" w:rsidRPr="00895589" w:rsidRDefault="00CC5B3C" w:rsidP="00286104">
            <w:pPr>
              <w:ind w:firstLine="0"/>
              <w:jc w:val="left"/>
              <w:rPr>
                <w:sz w:val="16"/>
                <w:szCs w:val="16"/>
              </w:rPr>
            </w:pPr>
          </w:p>
        </w:tc>
      </w:tr>
      <w:tr w:rsidR="000F6B07" w:rsidRPr="00895589" w14:paraId="0F34AC13" w14:textId="77777777" w:rsidTr="00286104">
        <w:tc>
          <w:tcPr>
            <w:tcW w:w="2268" w:type="dxa"/>
          </w:tcPr>
          <w:p w14:paraId="6EB37B43" w14:textId="77777777" w:rsidR="000F6B07" w:rsidRPr="00895589" w:rsidRDefault="000F6B07" w:rsidP="00286104">
            <w:pPr>
              <w:ind w:firstLine="0"/>
              <w:jc w:val="left"/>
              <w:rPr>
                <w:b/>
                <w:bCs/>
                <w:sz w:val="16"/>
                <w:szCs w:val="16"/>
              </w:rPr>
            </w:pPr>
            <w:r w:rsidRPr="00895589">
              <w:rPr>
                <w:b/>
                <w:bCs/>
                <w:sz w:val="20"/>
                <w:szCs w:val="20"/>
              </w:rPr>
              <w:t>Citation</w:t>
            </w:r>
            <w:r w:rsidRPr="00895589">
              <w:rPr>
                <w:b/>
                <w:bCs/>
                <w:sz w:val="16"/>
                <w:szCs w:val="16"/>
              </w:rPr>
              <w:t xml:space="preserve">: </w:t>
            </w:r>
          </w:p>
          <w:p w14:paraId="53B3366F" w14:textId="58087279" w:rsidR="00904F69" w:rsidRPr="00895589" w:rsidRDefault="009B661F" w:rsidP="00286104">
            <w:pPr>
              <w:ind w:firstLine="0"/>
              <w:jc w:val="left"/>
              <w:rPr>
                <w:sz w:val="18"/>
                <w:szCs w:val="18"/>
              </w:rPr>
            </w:pPr>
            <w:proofErr w:type="spellStart"/>
            <w:r w:rsidRPr="00895589">
              <w:rPr>
                <w:sz w:val="18"/>
                <w:szCs w:val="18"/>
              </w:rPr>
              <w:t>Irmafesya</w:t>
            </w:r>
            <w:proofErr w:type="spellEnd"/>
            <w:r w:rsidRPr="00895589">
              <w:rPr>
                <w:sz w:val="18"/>
                <w:szCs w:val="18"/>
              </w:rPr>
              <w:t xml:space="preserve">, A. R., Kurniasih, D., Karita, D., &amp; Putri, P. M. (2026). Correlation of short axial axis of the eyeball with visual outcome post-cataract operation. </w:t>
            </w:r>
            <w:r w:rsidRPr="00895589">
              <w:rPr>
                <w:i/>
                <w:iCs/>
                <w:sz w:val="18"/>
                <w:szCs w:val="18"/>
              </w:rPr>
              <w:t>Research Horizon, 6</w:t>
            </w:r>
            <w:r w:rsidRPr="00895589">
              <w:rPr>
                <w:sz w:val="18"/>
                <w:szCs w:val="18"/>
              </w:rPr>
              <w:t>(3),</w:t>
            </w:r>
            <w:r w:rsidR="003C24F1">
              <w:t xml:space="preserve"> </w:t>
            </w:r>
            <w:r w:rsidR="003C24F1" w:rsidRPr="003C24F1">
              <w:rPr>
                <w:sz w:val="18"/>
                <w:szCs w:val="18"/>
              </w:rPr>
              <w:t>1465-1476</w:t>
            </w:r>
            <w:r w:rsidR="00DE334D" w:rsidRPr="00895589">
              <w:rPr>
                <w:sz w:val="18"/>
                <w:szCs w:val="18"/>
              </w:rPr>
              <w:t>.</w:t>
            </w:r>
          </w:p>
          <w:p w14:paraId="1E0EC4C9" w14:textId="77777777" w:rsidR="009B661F" w:rsidRPr="00895589" w:rsidRDefault="009B661F" w:rsidP="00286104">
            <w:pPr>
              <w:ind w:firstLine="0"/>
              <w:jc w:val="left"/>
              <w:rPr>
                <w:sz w:val="18"/>
                <w:szCs w:val="18"/>
              </w:rPr>
            </w:pPr>
          </w:p>
          <w:p w14:paraId="37DEDD5A" w14:textId="5CD9D6A4" w:rsidR="00904F69" w:rsidRPr="00895589" w:rsidRDefault="00904F69" w:rsidP="00904F69">
            <w:pPr>
              <w:ind w:firstLine="0"/>
              <w:jc w:val="left"/>
              <w:rPr>
                <w:b/>
                <w:bCs/>
                <w:sz w:val="16"/>
                <w:szCs w:val="16"/>
              </w:rPr>
            </w:pPr>
            <w:r w:rsidRPr="00895589">
              <w:rPr>
                <w:b/>
                <w:bCs/>
                <w:sz w:val="20"/>
                <w:szCs w:val="20"/>
              </w:rPr>
              <w:t>Article History</w:t>
            </w:r>
            <w:r w:rsidRPr="00895589">
              <w:rPr>
                <w:b/>
                <w:bCs/>
                <w:sz w:val="16"/>
                <w:szCs w:val="16"/>
              </w:rPr>
              <w:t xml:space="preserve">: </w:t>
            </w:r>
          </w:p>
          <w:p w14:paraId="33F8EDE5" w14:textId="7B2B49A6" w:rsidR="00904F69" w:rsidRPr="00895589" w:rsidRDefault="00904F69" w:rsidP="00904F69">
            <w:pPr>
              <w:ind w:firstLine="0"/>
              <w:jc w:val="left"/>
              <w:rPr>
                <w:sz w:val="18"/>
                <w:szCs w:val="18"/>
              </w:rPr>
            </w:pPr>
            <w:r w:rsidRPr="00895589">
              <w:rPr>
                <w:sz w:val="18"/>
                <w:szCs w:val="18"/>
              </w:rPr>
              <w:t xml:space="preserve">Received: </w:t>
            </w:r>
            <w:r w:rsidR="00655196">
              <w:rPr>
                <w:sz w:val="18"/>
                <w:szCs w:val="18"/>
              </w:rPr>
              <w:t xml:space="preserve"> </w:t>
            </w:r>
            <w:r w:rsidR="00655196">
              <w:rPr>
                <w:sz w:val="18"/>
                <w:szCs w:val="18"/>
              </w:rPr>
              <w:t>May 2</w:t>
            </w:r>
            <w:r w:rsidR="00655196">
              <w:rPr>
                <w:sz w:val="18"/>
                <w:szCs w:val="18"/>
              </w:rPr>
              <w:t>8</w:t>
            </w:r>
            <w:r w:rsidR="00655196">
              <w:rPr>
                <w:sz w:val="18"/>
                <w:szCs w:val="18"/>
              </w:rPr>
              <w:t>, 2026</w:t>
            </w:r>
          </w:p>
          <w:p w14:paraId="03645B62" w14:textId="64BF31FA" w:rsidR="00D97D51" w:rsidRPr="00097676" w:rsidRDefault="00D97D51" w:rsidP="00D97D51">
            <w:pPr>
              <w:ind w:firstLine="0"/>
              <w:jc w:val="left"/>
              <w:rPr>
                <w:sz w:val="18"/>
                <w:szCs w:val="18"/>
              </w:rPr>
            </w:pPr>
            <w:r w:rsidRPr="00097676">
              <w:rPr>
                <w:sz w:val="18"/>
                <w:szCs w:val="18"/>
              </w:rPr>
              <w:t xml:space="preserve">Revised: </w:t>
            </w:r>
            <w:r>
              <w:rPr>
                <w:sz w:val="18"/>
                <w:szCs w:val="18"/>
              </w:rPr>
              <w:t xml:space="preserve">June </w:t>
            </w:r>
            <w:r>
              <w:rPr>
                <w:sz w:val="18"/>
                <w:szCs w:val="18"/>
              </w:rPr>
              <w:t>15</w:t>
            </w:r>
            <w:r>
              <w:rPr>
                <w:sz w:val="18"/>
                <w:szCs w:val="18"/>
              </w:rPr>
              <w:t>, 2026</w:t>
            </w:r>
          </w:p>
          <w:p w14:paraId="3C1282DD" w14:textId="77777777" w:rsidR="00D97D51" w:rsidRPr="00097676" w:rsidRDefault="00D97D51" w:rsidP="00D97D51">
            <w:pPr>
              <w:ind w:firstLine="0"/>
              <w:jc w:val="left"/>
              <w:rPr>
                <w:sz w:val="18"/>
                <w:szCs w:val="18"/>
              </w:rPr>
            </w:pPr>
            <w:r w:rsidRPr="00097676">
              <w:rPr>
                <w:sz w:val="18"/>
                <w:szCs w:val="18"/>
              </w:rPr>
              <w:t xml:space="preserve">Accepted: </w:t>
            </w:r>
            <w:r>
              <w:rPr>
                <w:sz w:val="18"/>
                <w:szCs w:val="18"/>
              </w:rPr>
              <w:t xml:space="preserve"> June 24, 2026</w:t>
            </w:r>
          </w:p>
          <w:p w14:paraId="2D331DF8" w14:textId="77777777" w:rsidR="00D97D51" w:rsidRPr="00097676" w:rsidRDefault="00D97D51" w:rsidP="00D97D51">
            <w:pPr>
              <w:ind w:firstLine="0"/>
              <w:jc w:val="left"/>
              <w:rPr>
                <w:sz w:val="18"/>
                <w:szCs w:val="18"/>
              </w:rPr>
            </w:pPr>
            <w:r w:rsidRPr="00097676">
              <w:rPr>
                <w:sz w:val="18"/>
                <w:szCs w:val="18"/>
              </w:rPr>
              <w:t xml:space="preserve">Online since: </w:t>
            </w:r>
            <w:r>
              <w:rPr>
                <w:sz w:val="18"/>
                <w:szCs w:val="18"/>
              </w:rPr>
              <w:t xml:space="preserve"> June 25, 2026</w:t>
            </w:r>
          </w:p>
          <w:p w14:paraId="25689312" w14:textId="77777777" w:rsidR="00904F69" w:rsidRPr="00895589" w:rsidRDefault="00904F69" w:rsidP="00286104">
            <w:pPr>
              <w:ind w:firstLine="0"/>
              <w:jc w:val="left"/>
              <w:rPr>
                <w:sz w:val="18"/>
                <w:szCs w:val="18"/>
              </w:rPr>
            </w:pPr>
          </w:p>
          <w:p w14:paraId="0C360399" w14:textId="77777777" w:rsidR="000F6B07" w:rsidRPr="00895589" w:rsidRDefault="000F6B07" w:rsidP="00286104">
            <w:pPr>
              <w:ind w:firstLine="0"/>
              <w:jc w:val="left"/>
              <w:rPr>
                <w:sz w:val="16"/>
                <w:szCs w:val="16"/>
              </w:rPr>
            </w:pPr>
          </w:p>
        </w:tc>
      </w:tr>
      <w:tr w:rsidR="000F6B07" w:rsidRPr="00895589" w14:paraId="644AF525" w14:textId="77777777" w:rsidTr="00286104">
        <w:tc>
          <w:tcPr>
            <w:tcW w:w="2268" w:type="dxa"/>
          </w:tcPr>
          <w:p w14:paraId="72B9FDCF" w14:textId="77777777" w:rsidR="000F6B07" w:rsidRPr="00895589" w:rsidRDefault="000F6B07" w:rsidP="00286104">
            <w:pPr>
              <w:ind w:firstLine="0"/>
              <w:jc w:val="left"/>
              <w:rPr>
                <w:b/>
                <w:bCs/>
                <w:sz w:val="20"/>
                <w:szCs w:val="20"/>
              </w:rPr>
            </w:pPr>
          </w:p>
        </w:tc>
      </w:tr>
    </w:tbl>
    <w:p w14:paraId="538CF1C6" w14:textId="2C1BC243" w:rsidR="0089440E" w:rsidRPr="00895589" w:rsidRDefault="0089440E" w:rsidP="00895589">
      <w:pPr>
        <w:pStyle w:val="Title"/>
      </w:pPr>
      <w:r w:rsidRPr="00895589">
        <w:t xml:space="preserve">Correlation of Short Axial Axis of the Eyeball with Visual Outcome Post-Cataract Operation </w:t>
      </w:r>
    </w:p>
    <w:p w14:paraId="1C4FFA20" w14:textId="12813C6A" w:rsidR="00382007" w:rsidRPr="00895589" w:rsidRDefault="00C6704F" w:rsidP="00326A54">
      <w:pPr>
        <w:pStyle w:val="authorname"/>
      </w:pPr>
      <w:proofErr w:type="spellStart"/>
      <w:r w:rsidRPr="00895589">
        <w:t>Azelya</w:t>
      </w:r>
      <w:proofErr w:type="spellEnd"/>
      <w:r w:rsidRPr="00895589">
        <w:t xml:space="preserve"> </w:t>
      </w:r>
      <w:proofErr w:type="spellStart"/>
      <w:r w:rsidRPr="00895589">
        <w:t>Rindu</w:t>
      </w:r>
      <w:proofErr w:type="spellEnd"/>
      <w:r w:rsidRPr="00895589">
        <w:t xml:space="preserve"> Irmafesya</w:t>
      </w:r>
      <w:r w:rsidR="00382007" w:rsidRPr="00895589">
        <w:rPr>
          <w:vertAlign w:val="superscript"/>
        </w:rPr>
        <w:t>1*</w:t>
      </w:r>
      <w:r w:rsidR="00382007" w:rsidRPr="00895589">
        <w:t xml:space="preserve">, </w:t>
      </w:r>
      <w:proofErr w:type="spellStart"/>
      <w:r w:rsidRPr="00895589">
        <w:t>Dedeh</w:t>
      </w:r>
      <w:proofErr w:type="spellEnd"/>
      <w:r w:rsidRPr="00895589">
        <w:t xml:space="preserve"> Kurniasih</w:t>
      </w:r>
      <w:r w:rsidR="00014C29" w:rsidRPr="00895589">
        <w:rPr>
          <w:vertAlign w:val="superscript"/>
        </w:rPr>
        <w:t>2</w:t>
      </w:r>
      <w:r w:rsidR="00382007" w:rsidRPr="00895589">
        <w:t xml:space="preserve">, </w:t>
      </w:r>
      <w:proofErr w:type="spellStart"/>
      <w:r w:rsidR="00BC43E1" w:rsidRPr="00895589">
        <w:t>Dewi</w:t>
      </w:r>
      <w:proofErr w:type="spellEnd"/>
      <w:r w:rsidR="00BC43E1" w:rsidRPr="00895589">
        <w:t xml:space="preserve"> Karita</w:t>
      </w:r>
      <w:r w:rsidR="00BC43E1" w:rsidRPr="00895589">
        <w:rPr>
          <w:vertAlign w:val="superscript"/>
        </w:rPr>
        <w:t>1</w:t>
      </w:r>
      <w:r w:rsidR="00BC43E1" w:rsidRPr="00895589">
        <w:t>, Prima Maharani Putri</w:t>
      </w:r>
      <w:r w:rsidR="00BC43E1" w:rsidRPr="00895589">
        <w:rPr>
          <w:vertAlign w:val="superscript"/>
        </w:rPr>
        <w:t>1</w:t>
      </w:r>
    </w:p>
    <w:p w14:paraId="4898AD5D" w14:textId="48DA2A3C" w:rsidR="00382007" w:rsidRPr="00895589" w:rsidRDefault="00382007" w:rsidP="00544261">
      <w:pPr>
        <w:pStyle w:val="NoSpacing"/>
      </w:pPr>
      <w:r w:rsidRPr="00895589">
        <w:rPr>
          <w:vertAlign w:val="superscript"/>
        </w:rPr>
        <w:t>1</w:t>
      </w:r>
      <w:r w:rsidR="008F407C" w:rsidRPr="00895589">
        <w:t> Department of Medical Education</w:t>
      </w:r>
      <w:r w:rsidR="007D709C" w:rsidRPr="00895589">
        <w:t xml:space="preserve">, Faculty of Medicine, </w:t>
      </w:r>
      <w:r w:rsidR="00BC43E1" w:rsidRPr="00895589">
        <w:t xml:space="preserve">Universitas Muhammadiyah </w:t>
      </w:r>
      <w:proofErr w:type="spellStart"/>
      <w:r w:rsidR="00BC43E1" w:rsidRPr="00895589">
        <w:t>Purwokerto</w:t>
      </w:r>
      <w:proofErr w:type="spellEnd"/>
      <w:r w:rsidR="00BC43E1" w:rsidRPr="00895589">
        <w:t xml:space="preserve">, </w:t>
      </w:r>
      <w:proofErr w:type="spellStart"/>
      <w:r w:rsidR="00BC43E1" w:rsidRPr="00895589">
        <w:t>Purwokerto</w:t>
      </w:r>
      <w:proofErr w:type="spellEnd"/>
      <w:r w:rsidR="00BC43E1" w:rsidRPr="00895589">
        <w:t>, Indonesia</w:t>
      </w:r>
    </w:p>
    <w:p w14:paraId="11F89614" w14:textId="2B66F07F" w:rsidR="00651297" w:rsidRPr="00895589" w:rsidRDefault="00651297" w:rsidP="00544261">
      <w:pPr>
        <w:pStyle w:val="NoSpacing"/>
      </w:pPr>
      <w:r w:rsidRPr="00895589">
        <w:rPr>
          <w:vertAlign w:val="superscript"/>
        </w:rPr>
        <w:t>2</w:t>
      </w:r>
      <w:r w:rsidR="00E26289" w:rsidRPr="00895589">
        <w:rPr>
          <w:vertAlign w:val="superscript"/>
        </w:rPr>
        <w:t> </w:t>
      </w:r>
      <w:r w:rsidR="00E26289" w:rsidRPr="00895589">
        <w:t xml:space="preserve">Department </w:t>
      </w:r>
      <w:r w:rsidR="003C6F67" w:rsidRPr="00895589">
        <w:t>o</w:t>
      </w:r>
      <w:r w:rsidR="00E26289" w:rsidRPr="00895589">
        <w:t>f Medical Profession</w:t>
      </w:r>
      <w:r w:rsidRPr="00895589">
        <w:t xml:space="preserve">, Faculty of Medicine, Universitas Muhammadiyah </w:t>
      </w:r>
      <w:proofErr w:type="spellStart"/>
      <w:r w:rsidRPr="00895589">
        <w:t>Purwokerto</w:t>
      </w:r>
      <w:proofErr w:type="spellEnd"/>
      <w:r w:rsidRPr="00895589">
        <w:t xml:space="preserve">, </w:t>
      </w:r>
      <w:proofErr w:type="spellStart"/>
      <w:r w:rsidRPr="00895589">
        <w:t>Purwokerto</w:t>
      </w:r>
      <w:proofErr w:type="spellEnd"/>
      <w:r w:rsidRPr="00895589">
        <w:t>, Indonesia</w:t>
      </w:r>
    </w:p>
    <w:p w14:paraId="5B106F08" w14:textId="77777777" w:rsidR="00651297" w:rsidRPr="00895589" w:rsidRDefault="00651297" w:rsidP="00326A54">
      <w:pPr>
        <w:pStyle w:val="NoSpacing"/>
      </w:pPr>
    </w:p>
    <w:p w14:paraId="30A344B0" w14:textId="77777777" w:rsidR="007B0790" w:rsidRPr="00895589" w:rsidRDefault="007B0790" w:rsidP="00326A54">
      <w:pPr>
        <w:pStyle w:val="NoSpacing"/>
      </w:pPr>
    </w:p>
    <w:p w14:paraId="243FA94B" w14:textId="7BA82F79" w:rsidR="00382007" w:rsidRPr="00895589" w:rsidRDefault="00382007" w:rsidP="00326A54">
      <w:pPr>
        <w:pStyle w:val="NoSpacing"/>
        <w:rPr>
          <w:i/>
          <w:iCs/>
        </w:rPr>
      </w:pPr>
      <w:r w:rsidRPr="00895589">
        <w:rPr>
          <w:i/>
          <w:iCs/>
          <w:vertAlign w:val="superscript"/>
        </w:rPr>
        <w:t>*</w:t>
      </w:r>
      <w:r w:rsidRPr="00895589">
        <w:rPr>
          <w:i/>
          <w:iCs/>
        </w:rPr>
        <w:t xml:space="preserve"> Corresponding author</w:t>
      </w:r>
      <w:r w:rsidR="00574E39" w:rsidRPr="00895589">
        <w:rPr>
          <w:i/>
          <w:iCs/>
        </w:rPr>
        <w:t xml:space="preserve">: </w:t>
      </w:r>
      <w:proofErr w:type="spellStart"/>
      <w:r w:rsidR="00FD3E63" w:rsidRPr="00895589">
        <w:rPr>
          <w:i/>
          <w:iCs/>
        </w:rPr>
        <w:t>Azelya</w:t>
      </w:r>
      <w:proofErr w:type="spellEnd"/>
      <w:r w:rsidR="00FD3E63" w:rsidRPr="00895589">
        <w:rPr>
          <w:i/>
          <w:iCs/>
        </w:rPr>
        <w:t xml:space="preserve"> </w:t>
      </w:r>
      <w:proofErr w:type="spellStart"/>
      <w:r w:rsidR="00FD3E63" w:rsidRPr="00895589">
        <w:rPr>
          <w:i/>
          <w:iCs/>
        </w:rPr>
        <w:t>Rindu</w:t>
      </w:r>
      <w:proofErr w:type="spellEnd"/>
      <w:r w:rsidR="00FD3E63" w:rsidRPr="00895589">
        <w:rPr>
          <w:i/>
          <w:iCs/>
        </w:rPr>
        <w:t xml:space="preserve"> </w:t>
      </w:r>
      <w:proofErr w:type="spellStart"/>
      <w:r w:rsidR="00FD3E63" w:rsidRPr="00895589">
        <w:rPr>
          <w:i/>
          <w:iCs/>
        </w:rPr>
        <w:t>Irmafesya</w:t>
      </w:r>
      <w:proofErr w:type="spellEnd"/>
      <w:r w:rsidR="00FD3E63" w:rsidRPr="00895589">
        <w:rPr>
          <w:i/>
          <w:iCs/>
        </w:rPr>
        <w:t xml:space="preserve"> </w:t>
      </w:r>
      <w:r w:rsidR="00BD430B" w:rsidRPr="00895589">
        <w:rPr>
          <w:i/>
          <w:iCs/>
        </w:rPr>
        <w:t>(</w:t>
      </w:r>
      <w:hyperlink r:id="rId8" w:history="1">
        <w:r w:rsidR="00FD3E63" w:rsidRPr="00895589">
          <w:rPr>
            <w:rStyle w:val="Hyperlink"/>
            <w:i/>
            <w:iCs/>
          </w:rPr>
          <w:t>azelyarindu1@gmail.com</w:t>
        </w:r>
      </w:hyperlink>
      <w:r w:rsidR="00BD430B" w:rsidRPr="00895589">
        <w:rPr>
          <w:i/>
          <w:iCs/>
        </w:rPr>
        <w:t>)</w:t>
      </w:r>
      <w:r w:rsidR="006F63C4" w:rsidRPr="00895589">
        <w:rPr>
          <w:i/>
          <w:iCs/>
        </w:rPr>
        <w:t xml:space="preserve"> </w:t>
      </w:r>
    </w:p>
    <w:p w14:paraId="5DBEFEC8" w14:textId="19760886" w:rsidR="006551C3" w:rsidRPr="00895589" w:rsidRDefault="006551C3" w:rsidP="00326A54">
      <w:pPr>
        <w:pStyle w:val="NoSpacing"/>
      </w:pPr>
    </w:p>
    <w:p w14:paraId="5689F0E7" w14:textId="77777777" w:rsidR="00587833" w:rsidRPr="00895589" w:rsidRDefault="00587833" w:rsidP="00845A39">
      <w:pPr>
        <w:pStyle w:val="NoSpacing"/>
      </w:pPr>
    </w:p>
    <w:p w14:paraId="394E7A4A" w14:textId="644505BC" w:rsidR="00382007" w:rsidRPr="00895589" w:rsidRDefault="00382007" w:rsidP="00932424">
      <w:pPr>
        <w:pStyle w:val="Heading1"/>
      </w:pPr>
      <w:r w:rsidRPr="00895589">
        <w:t>Abstract</w:t>
      </w:r>
    </w:p>
    <w:p w14:paraId="046DFEBA" w14:textId="7C9F3979" w:rsidR="00A66906" w:rsidRPr="00895589" w:rsidRDefault="00A66906" w:rsidP="00A16412">
      <w:pPr>
        <w:pStyle w:val="NoSpacing"/>
      </w:pPr>
      <w:r w:rsidRPr="00895589">
        <w:t>Cataract is a leading cause of visual impairment that can be treated surgically. Surgical success depends not only on technique but also on ocular anatomical factors, including axial length. A short axial axis may reduce the accuracy of intraocular lens power calculation</w:t>
      </w:r>
      <w:r w:rsidR="00232A15" w:rsidRPr="00895589">
        <w:t>.</w:t>
      </w:r>
      <w:r w:rsidRPr="00895589">
        <w:t xml:space="preserve"> </w:t>
      </w:r>
      <w:r w:rsidR="00724FE0" w:rsidRPr="00895589">
        <w:t xml:space="preserve">This study aims to </w:t>
      </w:r>
      <w:proofErr w:type="spellStart"/>
      <w:r w:rsidRPr="00895589">
        <w:t>analyze</w:t>
      </w:r>
      <w:proofErr w:type="spellEnd"/>
      <w:r w:rsidRPr="00895589">
        <w:t xml:space="preserve"> the correlation between short axial axis and postoperative visual outcomes after cataract surgery. An analytical observational study with a cross-sectional design was conducted using secondary data from medical records of senile cataract patients who underwent phacoemulsification. Subjects had an axial length &lt;22 mm and documented postoperative visual acuity at least one month after surgery. Visual acuity was converted to </w:t>
      </w:r>
      <w:proofErr w:type="spellStart"/>
      <w:r w:rsidRPr="00895589">
        <w:t>logMAR</w:t>
      </w:r>
      <w:proofErr w:type="spellEnd"/>
      <w:r w:rsidRPr="00895589">
        <w:t xml:space="preserve"> units and </w:t>
      </w:r>
      <w:proofErr w:type="spellStart"/>
      <w:r w:rsidRPr="00895589">
        <w:t>analyzed</w:t>
      </w:r>
      <w:proofErr w:type="spellEnd"/>
      <w:r w:rsidRPr="00895589">
        <w:t xml:space="preserve"> using appropriate correlation tests. </w:t>
      </w:r>
      <w:r w:rsidR="000856C2" w:rsidRPr="00895589">
        <w:t>The study included 84 cataract patients with a median axial length of 21.57 mm. Postoperative visual acuity improved compared with preoperative values. Spearman correlation analysis revealed a significant association between short axial length and postoperative visual outcomes (r = 0.27; p = 0.01), indicating a weak positive correlation and suggesting that visual outcomes are influenced by multiple factors beyond axial length alone. These findings highlight the importance of comprehensive preoperative assessment to optimize visual outcomes following cataract surgery</w:t>
      </w:r>
      <w:r w:rsidRPr="00895589">
        <w:t>.</w:t>
      </w:r>
    </w:p>
    <w:p w14:paraId="71E04AC5" w14:textId="63B9EAB3" w:rsidR="00382007" w:rsidRPr="00895589" w:rsidRDefault="00382007" w:rsidP="00932424">
      <w:pPr>
        <w:pStyle w:val="Heading1"/>
      </w:pPr>
      <w:r w:rsidRPr="00895589">
        <w:t>Keywords</w:t>
      </w:r>
    </w:p>
    <w:p w14:paraId="7BC82AD2" w14:textId="654A7655" w:rsidR="00D407E9" w:rsidRPr="00895589" w:rsidRDefault="001A251D" w:rsidP="008959D1">
      <w:pPr>
        <w:pStyle w:val="NoSpacing"/>
      </w:pPr>
      <w:r w:rsidRPr="00895589">
        <w:t>Axial Length, Cataract Surgery, Phacoemulsification, Short Axial, Visual Outcome.</w:t>
      </w:r>
    </w:p>
    <w:p w14:paraId="5EA09009" w14:textId="315C4F21" w:rsidR="00330226" w:rsidRPr="00895589" w:rsidRDefault="00330226" w:rsidP="00E353D8">
      <w:pPr>
        <w:tabs>
          <w:tab w:val="left" w:pos="2805"/>
        </w:tabs>
        <w:ind w:firstLine="0"/>
        <w:sectPr w:rsidR="00330226" w:rsidRPr="00895589" w:rsidSect="003C24F1">
          <w:headerReference w:type="even" r:id="rId9"/>
          <w:headerReference w:type="default" r:id="rId10"/>
          <w:footerReference w:type="even" r:id="rId11"/>
          <w:footerReference w:type="default" r:id="rId12"/>
          <w:headerReference w:type="first" r:id="rId13"/>
          <w:pgSz w:w="11906" w:h="16838" w:code="9"/>
          <w:pgMar w:top="2268" w:right="1021" w:bottom="1134" w:left="3402" w:header="709" w:footer="454" w:gutter="0"/>
          <w:pgNumType w:start="1465"/>
          <w:cols w:space="708"/>
          <w:titlePg/>
          <w:docGrid w:linePitch="360"/>
        </w:sectPr>
      </w:pPr>
    </w:p>
    <w:p w14:paraId="0DC9D087" w14:textId="13BC8E46" w:rsidR="00383648" w:rsidRPr="00895589" w:rsidRDefault="00383648" w:rsidP="000B71CE">
      <w:pPr>
        <w:pStyle w:val="Heading1"/>
      </w:pPr>
      <w:r w:rsidRPr="00895589">
        <w:lastRenderedPageBreak/>
        <w:t>1. Introduction</w:t>
      </w:r>
    </w:p>
    <w:p w14:paraId="3779EC7F" w14:textId="401FD23A" w:rsidR="00E17D42" w:rsidRPr="00895589" w:rsidRDefault="00E17D42" w:rsidP="00E17D42">
      <w:r w:rsidRPr="00895589">
        <w:t xml:space="preserve">Vision through the eyes plays a vital role in supporting human activities and quality of life. Visual impairment can range in severity from mild to severe, and can even lead to blindness. One of the main causes of visual impairment is cataracts, a clouding of the lens of the eye that reduces visual acuity and blurs vision. The World Health Organization (WHO) </w:t>
      </w:r>
      <w:r w:rsidR="00431F4A" w:rsidRPr="00895589">
        <w:t>(</w:t>
      </w:r>
      <w:r w:rsidRPr="00895589">
        <w:t>2020</w:t>
      </w:r>
      <w:r w:rsidR="00431F4A" w:rsidRPr="00895589">
        <w:t>)</w:t>
      </w:r>
      <w:r w:rsidRPr="00895589">
        <w:t xml:space="preserve"> </w:t>
      </w:r>
      <w:r w:rsidR="004F0218">
        <w:t xml:space="preserve">states </w:t>
      </w:r>
      <w:r w:rsidRPr="00895589">
        <w:t>that approximately 94 million of the world</w:t>
      </w:r>
      <w:r w:rsidR="00CA41C8" w:rsidRPr="00895589">
        <w:t>’</w:t>
      </w:r>
      <w:r w:rsidRPr="00895589">
        <w:t xml:space="preserve">s 1 billion population experience blindness due to cataracts. Cataract cases are primarily found in the 40-79 age group. In that same year, approximately 13.4 million cases of age-related blindness (34.8% of all global blindness cases) were recorded, of which approximately 60% were senile cataracts. Globally, Indonesia has the highest blindness rate in Southeast Asia, with a cataract prevalence of 81.2%, or approximately 1.3 million people (Fauzia </w:t>
      </w:r>
      <w:r w:rsidR="00DF47AB" w:rsidRPr="00895589">
        <w:t>&amp;</w:t>
      </w:r>
      <w:r w:rsidRPr="00895589">
        <w:t xml:space="preserve"> </w:t>
      </w:r>
      <w:proofErr w:type="spellStart"/>
      <w:r w:rsidRPr="00895589">
        <w:t>Zainun</w:t>
      </w:r>
      <w:proofErr w:type="spellEnd"/>
      <w:r w:rsidRPr="00895589">
        <w:t>, 2025).</w:t>
      </w:r>
    </w:p>
    <w:p w14:paraId="5460314E" w14:textId="7161603D" w:rsidR="00E17D42" w:rsidRPr="00895589" w:rsidRDefault="00E17D42" w:rsidP="00754EB9">
      <w:r w:rsidRPr="00895589">
        <w:t>The results of the Rapid Assessment of Avoidable Blindness (RAAB) survey in 15 provinces in Indonesia indicate that the national prevalence of visual impairment has reached 3%. In Central Java, the prevalence of blindness was recorded at 2.7%, with cataracts accounting for 73.8% of cases. Cataracts are the leading cause of avoidable visual impairment. Risk factors include advanced age, exposure to ultraviolet light, an unhealthy lifestyle, smoking, alcohol consumption, a history of diabetes, and a history of ocular trauma (</w:t>
      </w:r>
      <w:r w:rsidR="00543807" w:rsidRPr="00895589">
        <w:t xml:space="preserve">Aliviana </w:t>
      </w:r>
      <w:r w:rsidRPr="00895589">
        <w:t>et al., 202</w:t>
      </w:r>
      <w:r w:rsidR="00543807" w:rsidRPr="00895589">
        <w:t>0</w:t>
      </w:r>
      <w:r w:rsidRPr="00895589">
        <w:t>).</w:t>
      </w:r>
      <w:r w:rsidR="00754EB9" w:rsidRPr="00895589">
        <w:t xml:space="preserve"> </w:t>
      </w:r>
      <w:r w:rsidRPr="00895589">
        <w:t xml:space="preserve">At the regional level, projections of RAAB data in Central Java, reported by </w:t>
      </w:r>
      <w:proofErr w:type="spellStart"/>
      <w:r w:rsidRPr="00895589">
        <w:t>Fathanita</w:t>
      </w:r>
      <w:proofErr w:type="spellEnd"/>
      <w:r w:rsidRPr="00895589">
        <w:t xml:space="preserve"> et al. (2024), indicate that the estimated prevalence of cataracts in Brebes Regency has increased from 1.8% to 3.0%, or approximately 57,000 people. This increase is related to the increasing number of elderly residents and local environmental factors, including high exposure to ultraviolet light. Specific district-level data is not yet publicly available, so local surveys are needed for more accurate validation.</w:t>
      </w:r>
    </w:p>
    <w:p w14:paraId="09506710" w14:textId="47CBEDA6" w:rsidR="00E17D42" w:rsidRPr="00895589" w:rsidRDefault="00E17D42" w:rsidP="00E17D42">
      <w:r w:rsidRPr="00895589">
        <w:t>Cataract surgery is the only treatment method that can restore vision in cataract patients</w:t>
      </w:r>
      <w:r w:rsidR="00EE69B4" w:rsidRPr="00895589">
        <w:t xml:space="preserve"> (Chen et al., 2021)</w:t>
      </w:r>
      <w:r w:rsidRPr="00895589">
        <w:t>. One modern technique currently widely used is phacoemulsification. This technique is performed through a small incision in the cornea, then the lens nucleus is crushed and extracted using an ultrasound-powered instrument. Phacoemulsification is the primary choice in many countries due to its shorter recovery time. This technique also results in improved vision and a reduced risk of postoperative astigmatism (</w:t>
      </w:r>
      <w:proofErr w:type="spellStart"/>
      <w:r w:rsidRPr="00895589">
        <w:t>Harianja</w:t>
      </w:r>
      <w:proofErr w:type="spellEnd"/>
      <w:r w:rsidRPr="00895589">
        <w:t xml:space="preserve"> et al., 2020</w:t>
      </w:r>
      <w:r w:rsidR="00245076" w:rsidRPr="00895589">
        <w:t>; Kato et al., 2024</w:t>
      </w:r>
      <w:r w:rsidRPr="00895589">
        <w:t>).</w:t>
      </w:r>
    </w:p>
    <w:p w14:paraId="3427E907" w14:textId="3882658D" w:rsidR="00E17D42" w:rsidRPr="00895589" w:rsidRDefault="00E17D42" w:rsidP="00E17D42">
      <w:r w:rsidRPr="00895589">
        <w:t xml:space="preserve">A study conducted by Dhiba (2023) on the relationship between random blood glucose levels and visual outcomes after cataract surgery showed that systemic conditions such as </w:t>
      </w:r>
      <w:proofErr w:type="spellStart"/>
      <w:r w:rsidRPr="00895589">
        <w:t>hyperglycemia</w:t>
      </w:r>
      <w:proofErr w:type="spellEnd"/>
      <w:r w:rsidRPr="00895589">
        <w:t xml:space="preserve"> can affect postoperative vision quality. The study emphasized the importance of metabolic control in determining final visual outcomes, especially in patients with diabetes mellitus. The focus of this research was on systemic factors, rather than on ocular anatomy. Structural variables, such as the length of the ocular axis, are thought to play a significant role in postoperative visual success, and a shorter axial axis is an aspect that has rarely been specifically studied. A short axial axis is known to increase the risk of inaccurate IOL calculations due to a narrower anterior chamber and less stable lens position predictions. This condition has the potential to cause refractive errors and result in decreased postoperative visual acuity (</w:t>
      </w:r>
      <w:r w:rsidR="00DE765B" w:rsidRPr="00895589">
        <w:t>Pollmann</w:t>
      </w:r>
      <w:r w:rsidRPr="00895589">
        <w:t xml:space="preserve"> et al., 202</w:t>
      </w:r>
      <w:r w:rsidR="00DE765B" w:rsidRPr="00895589">
        <w:t>4</w:t>
      </w:r>
      <w:r w:rsidRPr="00895589">
        <w:t xml:space="preserve">). </w:t>
      </w:r>
      <w:r w:rsidR="00C40C9C" w:rsidRPr="00895589">
        <w:t xml:space="preserve"> </w:t>
      </w:r>
      <w:r w:rsidRPr="00895589">
        <w:t xml:space="preserve">Muhammadiyah Siti Aminah </w:t>
      </w:r>
      <w:proofErr w:type="spellStart"/>
      <w:r w:rsidRPr="00895589">
        <w:t>Bumiayu</w:t>
      </w:r>
      <w:proofErr w:type="spellEnd"/>
      <w:r w:rsidRPr="00895589">
        <w:t xml:space="preserve"> General Hospital is a nationally accredited referral hospital with superior eye care services compared to similar facilities in Brebes Regency. This hospital provides services daily, allowing wide patient access and generating a representative cataract case population. In 2024, approximately 900 cataract patients were recorded as undergoing examinations and operative procedures, which then increased to 1,200 patients in 2025. Thus, Muhammadiyah Siti Aminah </w:t>
      </w:r>
      <w:proofErr w:type="spellStart"/>
      <w:r w:rsidRPr="00895589">
        <w:t>Bumiayu</w:t>
      </w:r>
      <w:proofErr w:type="spellEnd"/>
      <w:r w:rsidRPr="00895589">
        <w:t xml:space="preserve"> Hospital is an appropriate and adequate location for conducting this research.</w:t>
      </w:r>
    </w:p>
    <w:p w14:paraId="0BE9E802" w14:textId="043FC3B0" w:rsidR="00383648" w:rsidRPr="00895589" w:rsidRDefault="00F32C6C" w:rsidP="00E17D42">
      <w:r w:rsidRPr="00895589">
        <w:t xml:space="preserve">Considering these conditions, the study aimed to conduct a study on the correlation between a short axial axis and visual outcomes after cataract surgery at </w:t>
      </w:r>
      <w:r w:rsidRPr="00895589">
        <w:lastRenderedPageBreak/>
        <w:t xml:space="preserve">Muhammadiyah Siti Aminah </w:t>
      </w:r>
      <w:proofErr w:type="spellStart"/>
      <w:r w:rsidRPr="00895589">
        <w:t>Bumiayu</w:t>
      </w:r>
      <w:proofErr w:type="spellEnd"/>
      <w:r w:rsidRPr="00895589">
        <w:t xml:space="preserve"> General Hospital. </w:t>
      </w:r>
      <w:r w:rsidR="00E17D42" w:rsidRPr="00895589">
        <w:t xml:space="preserve">This study is expected to improve the application of research knowledge and skills in ophthalmology, particularly regarding axial length and postoperative cataract surgery outcomes, while also enriching the literature and encouraging further related studies. In addition, the findings may provide preliminary scientific information for clinicians in identifying patients with short axial axis, optimizing biometry formula and </w:t>
      </w:r>
      <w:r w:rsidR="00C765B7" w:rsidRPr="00895589">
        <w:t xml:space="preserve">Intraocular Lens </w:t>
      </w:r>
      <w:r w:rsidR="00E17D42" w:rsidRPr="00895589">
        <w:t>(IOL) power selection, and predicting postoperative refractive error to support more precise and personalized treatment planning. This study may also increase public awareness of the importance of ocular biometric examinations before cataract surgery to optimize visual outcomes and reduce postoperative complaints.</w:t>
      </w:r>
    </w:p>
    <w:p w14:paraId="277641C3" w14:textId="242D1A38" w:rsidR="00383648" w:rsidRPr="00895589" w:rsidRDefault="00383648" w:rsidP="006D46CE">
      <w:pPr>
        <w:pStyle w:val="Heading1"/>
      </w:pPr>
      <w:r w:rsidRPr="00895589">
        <w:t>2. Literature Review</w:t>
      </w:r>
      <w:r w:rsidR="00904F69" w:rsidRPr="00895589">
        <w:t xml:space="preserve"> </w:t>
      </w:r>
      <w:r w:rsidR="00572B95" w:rsidRPr="00895589">
        <w:t>and Hypothesis Development</w:t>
      </w:r>
    </w:p>
    <w:p w14:paraId="7C260F1A" w14:textId="6C3B08F6" w:rsidR="00383648" w:rsidRPr="00895589" w:rsidRDefault="00383648" w:rsidP="00E37F10">
      <w:pPr>
        <w:pStyle w:val="Heading2"/>
        <w:rPr>
          <w:i w:val="0"/>
          <w:iCs/>
        </w:rPr>
      </w:pPr>
      <w:r w:rsidRPr="00895589">
        <w:rPr>
          <w:i w:val="0"/>
          <w:iCs/>
        </w:rPr>
        <w:t xml:space="preserve">2.1. </w:t>
      </w:r>
      <w:r w:rsidR="00AE0D4A" w:rsidRPr="00895589">
        <w:rPr>
          <w:i w:val="0"/>
          <w:iCs/>
        </w:rPr>
        <w:t>Axial Axis of the Eyeball</w:t>
      </w:r>
    </w:p>
    <w:p w14:paraId="70908A2F" w14:textId="156C4834" w:rsidR="00311E43" w:rsidRPr="00895589" w:rsidRDefault="00E2674A" w:rsidP="001035F3">
      <w:r w:rsidRPr="00895589">
        <w:t>The eyeball is a nearly spherical visual organ composed of three main layers (</w:t>
      </w:r>
      <w:proofErr w:type="spellStart"/>
      <w:r w:rsidRPr="00895589">
        <w:t>Al</w:t>
      </w:r>
      <w:r w:rsidR="00DF47AB" w:rsidRPr="00895589">
        <w:t>i</w:t>
      </w:r>
      <w:r w:rsidRPr="00895589">
        <w:t>viana</w:t>
      </w:r>
      <w:proofErr w:type="spellEnd"/>
      <w:r w:rsidRPr="00895589">
        <w:t xml:space="preserve">, 2020; </w:t>
      </w:r>
      <w:proofErr w:type="spellStart"/>
      <w:r w:rsidRPr="00895589">
        <w:t>Yuliantoro</w:t>
      </w:r>
      <w:proofErr w:type="spellEnd"/>
      <w:r w:rsidRPr="00895589">
        <w:t xml:space="preserve">, 2024). Its outer fibrous layer includes the protective sclera and the transparent, light-refracting cornea, while the middle vascular layer, or uvea, comprises the iris, ciliary body, and choroid, which regulate light entry, accommodation, aqueous </w:t>
      </w:r>
      <w:proofErr w:type="spellStart"/>
      <w:r w:rsidRPr="00895589">
        <w:t>humor</w:t>
      </w:r>
      <w:proofErr w:type="spellEnd"/>
      <w:r w:rsidRPr="00895589">
        <w:t xml:space="preserve"> production, and retinal blood supply. The innermost layer, the retina, utilizes rod and cone photoreceptors to convert light into electrical impulses transmitted via the optic nerve (</w:t>
      </w:r>
      <w:proofErr w:type="spellStart"/>
      <w:r w:rsidRPr="00895589">
        <w:t>Pabuntang</w:t>
      </w:r>
      <w:proofErr w:type="spellEnd"/>
      <w:r w:rsidRPr="00895589">
        <w:t xml:space="preserve">, </w:t>
      </w:r>
      <w:r w:rsidR="00DF47AB" w:rsidRPr="00895589">
        <w:t>2022</w:t>
      </w:r>
      <w:r w:rsidRPr="00895589">
        <w:t xml:space="preserve">). Clear vision requires the cornea, aqueous </w:t>
      </w:r>
      <w:proofErr w:type="spellStart"/>
      <w:r w:rsidRPr="00895589">
        <w:t>humor</w:t>
      </w:r>
      <w:proofErr w:type="spellEnd"/>
      <w:r w:rsidRPr="00895589">
        <w:t xml:space="preserve">, lens, and vitreous </w:t>
      </w:r>
      <w:proofErr w:type="spellStart"/>
      <w:r w:rsidRPr="00895589">
        <w:t>humor</w:t>
      </w:r>
      <w:proofErr w:type="spellEnd"/>
      <w:r w:rsidRPr="00895589">
        <w:t xml:space="preserve"> to precisely focus light. The avascular, biconvex lens adjusts its curvature through accommodation for varying distances, while the vitreous </w:t>
      </w:r>
      <w:proofErr w:type="spellStart"/>
      <w:r w:rsidRPr="00895589">
        <w:t>humor</w:t>
      </w:r>
      <w:proofErr w:type="spellEnd"/>
      <w:r w:rsidRPr="00895589">
        <w:t xml:space="preserve"> maintains ocular shape (Pradana, </w:t>
      </w:r>
      <w:r w:rsidR="00DF47AB" w:rsidRPr="00895589">
        <w:t>2024</w:t>
      </w:r>
      <w:r w:rsidRPr="00895589">
        <w:t xml:space="preserve">). Ultimately, visual physiology integrates light refraction, retinal image formation, neural conversion, and cortical processing to perceive shape, </w:t>
      </w:r>
      <w:proofErr w:type="spellStart"/>
      <w:r w:rsidRPr="00895589">
        <w:t>color</w:t>
      </w:r>
      <w:proofErr w:type="spellEnd"/>
      <w:r w:rsidRPr="00895589">
        <w:t xml:space="preserve">, and position (Wibowo </w:t>
      </w:r>
      <w:r w:rsidR="00DF47AB" w:rsidRPr="00895589">
        <w:t>et al.</w:t>
      </w:r>
      <w:r w:rsidRPr="00895589">
        <w:t>, 2024).</w:t>
      </w:r>
    </w:p>
    <w:p w14:paraId="6CD207F6" w14:textId="66AE8001" w:rsidR="001035F3" w:rsidRPr="00895589" w:rsidRDefault="001035F3" w:rsidP="001035F3">
      <w:r w:rsidRPr="00895589">
        <w:t>Axial length is the distance from the anterior corneal surface to the retina, particularly the fovea centralis, and plays an important role in determining the refractive status of the eye. Normal axial length ranges from 22–24.5 mm, while values below 22 mm are classified as short axial axis and above 24.5 mm as long axial length. Measurement can be performed using A-scan ultrasonography, immersion ultrasound, or optical biometry such as the IOL Master, which is non-invasive and highly accurate. Axial length is influenced by genetics, age, refractive status, and ocular development (</w:t>
      </w:r>
      <w:r w:rsidR="00E119A8" w:rsidRPr="00895589">
        <w:t>Pratama</w:t>
      </w:r>
      <w:r w:rsidRPr="00895589">
        <w:t xml:space="preserve">, 2024). Axial length is strongly associated with refractive errors. A short axial axis may result in hyperopia due to image formation behind the retina, whereas a long axial length may cause myopia because the image forms in front of the retina. Accurate axial length measurement is essential for </w:t>
      </w:r>
      <w:r w:rsidR="00D658E9" w:rsidRPr="00895589">
        <w:t>I</w:t>
      </w:r>
      <w:r w:rsidRPr="00895589">
        <w:t>OL power calculation in cataract surgery, as measurement errors may lead to postoperative refractive errors and suboptimal visual outcomes</w:t>
      </w:r>
      <w:r w:rsidR="00495A9A" w:rsidRPr="00895589">
        <w:t xml:space="preserve"> (Yosar, 2021)</w:t>
      </w:r>
      <w:r w:rsidRPr="00895589">
        <w:t>.</w:t>
      </w:r>
    </w:p>
    <w:p w14:paraId="356CB35D" w14:textId="4D32DBC2" w:rsidR="00383648" w:rsidRPr="00895589" w:rsidRDefault="00383648" w:rsidP="001B4C5C">
      <w:pPr>
        <w:pStyle w:val="Heading2"/>
        <w:rPr>
          <w:i w:val="0"/>
          <w:iCs/>
        </w:rPr>
      </w:pPr>
      <w:r w:rsidRPr="00895589">
        <w:rPr>
          <w:i w:val="0"/>
          <w:iCs/>
        </w:rPr>
        <w:t>2.2.</w:t>
      </w:r>
      <w:r w:rsidR="00D94C7E" w:rsidRPr="00895589">
        <w:rPr>
          <w:i w:val="0"/>
          <w:iCs/>
        </w:rPr>
        <w:t xml:space="preserve"> </w:t>
      </w:r>
      <w:r w:rsidR="00AE0D4A" w:rsidRPr="00895589">
        <w:rPr>
          <w:i w:val="0"/>
          <w:iCs/>
        </w:rPr>
        <w:t>Cataract and Intraocular Lens Surgery</w:t>
      </w:r>
    </w:p>
    <w:p w14:paraId="5E2D02AF" w14:textId="6EB5EFD1" w:rsidR="006A10D0" w:rsidRPr="00895589" w:rsidRDefault="006A10D0" w:rsidP="00631C9F">
      <w:r w:rsidRPr="00895589">
        <w:t xml:space="preserve">Cataracts involve a progressive loss of lens transparency leading to blurred vision, reduced acuity, glare, altered </w:t>
      </w:r>
      <w:proofErr w:type="spellStart"/>
      <w:r w:rsidRPr="00895589">
        <w:t>color</w:t>
      </w:r>
      <w:proofErr w:type="spellEnd"/>
      <w:r w:rsidRPr="00895589">
        <w:t xml:space="preserve"> perception, and occasional diplopia (</w:t>
      </w:r>
      <w:proofErr w:type="spellStart"/>
      <w:r w:rsidRPr="00895589">
        <w:t>Pabuntang</w:t>
      </w:r>
      <w:proofErr w:type="spellEnd"/>
      <w:r w:rsidRPr="00895589">
        <w:t xml:space="preserve">, </w:t>
      </w:r>
      <w:r w:rsidR="00DF47AB" w:rsidRPr="00895589">
        <w:t>2022</w:t>
      </w:r>
      <w:r w:rsidRPr="00895589">
        <w:t>). Aging is the primary cause, driven by structural and biochemical changes that impair visual function, though ultraviolet exposure, smoking, alcohol, and ocular trauma also contribute via oxidative stress and lens damage (</w:t>
      </w:r>
      <w:proofErr w:type="spellStart"/>
      <w:r w:rsidRPr="00895589">
        <w:t>Retnosari</w:t>
      </w:r>
      <w:proofErr w:type="spellEnd"/>
      <w:r w:rsidRPr="00895589">
        <w:t>, 2024). Morphologically classified into nuclear, cortical, and posterior subcapsular types, cataracts affect distinct lens regions and visual functions differently (Dhiba, 2023). To restore vision, cataract surgery replaces the opaque natural lens with an artificial Intraocular Lens (IOL)</w:t>
      </w:r>
      <w:r w:rsidR="00B739CD" w:rsidRPr="00895589">
        <w:t xml:space="preserve"> (Lapp et al., 2023)</w:t>
      </w:r>
      <w:r w:rsidRPr="00895589">
        <w:t xml:space="preserve">. </w:t>
      </w:r>
      <w:r w:rsidR="00544261" w:rsidRPr="00895589">
        <w:t xml:space="preserve">According to </w:t>
      </w:r>
      <w:proofErr w:type="spellStart"/>
      <w:r w:rsidR="00544261" w:rsidRPr="00895589">
        <w:t>Mudrikah</w:t>
      </w:r>
      <w:proofErr w:type="spellEnd"/>
      <w:r w:rsidR="00544261" w:rsidRPr="00895589">
        <w:t xml:space="preserve"> (2024), this safe procedure carries low complication rates and significantly improves visual acuity, daily functioning, overall quality of life, and reduces mortality risks. </w:t>
      </w:r>
      <w:r w:rsidRPr="00895589">
        <w:t xml:space="preserve">Ultimately, surgical intervention is indicated not only for decreased acuity but also </w:t>
      </w:r>
      <w:r w:rsidRPr="00895589">
        <w:lastRenderedPageBreak/>
        <w:t>for glare sensitivity, impaired depth perception, visual field disturbances, and significant interocular visual differences</w:t>
      </w:r>
      <w:r w:rsidR="00081749" w:rsidRPr="00895589">
        <w:t xml:space="preserve"> (Wibowo, 2026)</w:t>
      </w:r>
      <w:r w:rsidRPr="00895589">
        <w:t>.</w:t>
      </w:r>
    </w:p>
    <w:p w14:paraId="30F4C4EF" w14:textId="47AF1DDB" w:rsidR="00D658E9" w:rsidRPr="00895589" w:rsidRDefault="008F755C" w:rsidP="00544261">
      <w:pPr>
        <w:rPr>
          <w:lang w:val="en-US"/>
        </w:rPr>
      </w:pPr>
      <w:r w:rsidRPr="00895589">
        <w:t>Several surgical techniques are commonly used. Extra Capsular Cataract Extraction (ECCE) involves a large corneal incision to remove the opaque lens while preserving the posterior capsule for IOL implantation; however, the larger wound may increase postoperative astigmatism risk (</w:t>
      </w:r>
      <w:proofErr w:type="spellStart"/>
      <w:r w:rsidRPr="00895589">
        <w:t>Retnosari</w:t>
      </w:r>
      <w:proofErr w:type="spellEnd"/>
      <w:r w:rsidRPr="00895589">
        <w:t>, 2024). Small Incision Cataract Surgery (SICS) uses a smaller self-sealing incision, reducing astigmatism and accelerating recovery. Phacoemulsification, the most modern technique, utilizes ultrasound energy to fragment the lens through a small incision, allowing rapid recovery without sutures.</w:t>
      </w:r>
      <w:r w:rsidR="00631C9F" w:rsidRPr="00895589">
        <w:t xml:space="preserve"> </w:t>
      </w:r>
      <w:r w:rsidRPr="00895589">
        <w:t xml:space="preserve">Complications may occur intraoperatively or postoperatively, including posterior capsule rupture, vitreous prolapse, corneal </w:t>
      </w:r>
      <w:proofErr w:type="spellStart"/>
      <w:r w:rsidRPr="00895589">
        <w:t>edema</w:t>
      </w:r>
      <w:proofErr w:type="spellEnd"/>
      <w:r w:rsidRPr="00895589">
        <w:t xml:space="preserve">, secondary glaucoma, cystoid macular </w:t>
      </w:r>
      <w:proofErr w:type="spellStart"/>
      <w:r w:rsidRPr="00895589">
        <w:t>edema</w:t>
      </w:r>
      <w:proofErr w:type="spellEnd"/>
      <w:r w:rsidRPr="00895589">
        <w:t xml:space="preserve">, retinal detachment, endophthalmitis, posterior capsule opacification, surgically induced astigmatism, and IOL dislocation (Hanis &amp; </w:t>
      </w:r>
      <w:proofErr w:type="spellStart"/>
      <w:r w:rsidRPr="00895589">
        <w:t>Mayani</w:t>
      </w:r>
      <w:proofErr w:type="spellEnd"/>
      <w:r w:rsidRPr="00895589">
        <w:t xml:space="preserve">, 2023; </w:t>
      </w:r>
      <w:proofErr w:type="spellStart"/>
      <w:r w:rsidRPr="00895589">
        <w:t>Khristiawati</w:t>
      </w:r>
      <w:proofErr w:type="spellEnd"/>
      <w:r w:rsidRPr="00895589">
        <w:t xml:space="preserve">, 2024). </w:t>
      </w:r>
      <w:r w:rsidR="00544261" w:rsidRPr="00895589">
        <w:rPr>
          <w:lang w:val="en-US"/>
        </w:rPr>
        <w:t xml:space="preserve">According to </w:t>
      </w:r>
      <w:proofErr w:type="spellStart"/>
      <w:r w:rsidR="00544261" w:rsidRPr="00895589">
        <w:rPr>
          <w:lang w:val="en-US"/>
        </w:rPr>
        <w:t>Mudrikah</w:t>
      </w:r>
      <w:proofErr w:type="spellEnd"/>
      <w:r w:rsidR="00544261" w:rsidRPr="00895589">
        <w:rPr>
          <w:lang w:val="en-US"/>
        </w:rPr>
        <w:t xml:space="preserve"> (2024), preoperative preparation includes ocular ultrasonography and biometric measurements to determine the appropriate IOL type and power, evaluate surgical risks, and assess intraocular pressure before surgery.</w:t>
      </w:r>
    </w:p>
    <w:p w14:paraId="052F701D" w14:textId="71A22AD8" w:rsidR="00AE0D4A" w:rsidRPr="00895589" w:rsidRDefault="00AE0D4A" w:rsidP="006200CB">
      <w:pPr>
        <w:pStyle w:val="Heading2"/>
        <w:rPr>
          <w:i w:val="0"/>
          <w:iCs/>
        </w:rPr>
      </w:pPr>
      <w:r w:rsidRPr="00895589">
        <w:rPr>
          <w:i w:val="0"/>
          <w:iCs/>
        </w:rPr>
        <w:t>2.3.</w:t>
      </w:r>
      <w:r w:rsidR="00015F4E" w:rsidRPr="00895589">
        <w:rPr>
          <w:i w:val="0"/>
          <w:iCs/>
        </w:rPr>
        <w:t xml:space="preserve"> Visual Outcomes after Cataract Surgery</w:t>
      </w:r>
    </w:p>
    <w:p w14:paraId="2AD7823F" w14:textId="4A4102F0" w:rsidR="000B1F68" w:rsidRPr="00895589" w:rsidRDefault="000B1F68" w:rsidP="000B1F68">
      <w:r w:rsidRPr="00895589">
        <w:t>Visual acuity testing is an essential part of a comprehensive eye examination. This test aims to assess the clarity or sharpness of a person</w:t>
      </w:r>
      <w:r w:rsidR="00CA41C8" w:rsidRPr="00895589">
        <w:t>’</w:t>
      </w:r>
      <w:r w:rsidRPr="00895589">
        <w:t>s vision. This test is performed by observing an individual</w:t>
      </w:r>
      <w:r w:rsidR="00CA41C8" w:rsidRPr="00895589">
        <w:t>’</w:t>
      </w:r>
      <w:r w:rsidRPr="00895589">
        <w:t>s ability to control optotypes, such as letters or symbols, from a specific distance. This assessment involves various pathways of visual function, from light entering the retina with proper refraction, retinal health, and the nervous system</w:t>
      </w:r>
      <w:r w:rsidR="00CA41C8" w:rsidRPr="00895589">
        <w:t>’</w:t>
      </w:r>
      <w:r w:rsidRPr="00895589">
        <w:t xml:space="preserve">s ability to transmit and process visual stimuli. </w:t>
      </w:r>
      <w:proofErr w:type="spellStart"/>
      <w:r w:rsidR="00544261" w:rsidRPr="00895589">
        <w:t>Rossanti</w:t>
      </w:r>
      <w:proofErr w:type="spellEnd"/>
      <w:r w:rsidR="00544261" w:rsidRPr="00895589">
        <w:t xml:space="preserve"> (2024) explained that all of these aspects must function optimally for visual acuity to be accurately assessed.</w:t>
      </w:r>
    </w:p>
    <w:p w14:paraId="1FA9C947" w14:textId="05699908" w:rsidR="00544261" w:rsidRPr="00895589" w:rsidRDefault="000B1F68" w:rsidP="00544261">
      <w:pPr>
        <w:rPr>
          <w:lang w:val="en-US"/>
        </w:rPr>
      </w:pPr>
      <w:r w:rsidRPr="00895589">
        <w:t xml:space="preserve">In the post-cataract surgery context, visual acuity testing plays a crucial role in assessing the success of the surgery and monitoring the healing process. Visual acuity evaluation is performed using a Snellen chart </w:t>
      </w:r>
      <w:r w:rsidR="004F0218">
        <w:t>from</w:t>
      </w:r>
      <w:r w:rsidRPr="00895589">
        <w:t xml:space="preserve"> the fourth to fifth week to assess optimal visual acuity. An anterior segment examination with a slit lamp is used to assess the condition of the cornea, anterior chamber, and signs of inflammation, while tonometry is used to measure intraocular pressure. </w:t>
      </w:r>
      <w:r w:rsidR="00544261" w:rsidRPr="00895589">
        <w:rPr>
          <w:lang w:val="en-US"/>
        </w:rPr>
        <w:t>According to Hanis and Mayani (2023), a fundoscopic examination is performed when the refractive media of the eye are clear, while an Ophthalmic Ultrasound (USG) serves as an alternative in cases of cloudy media.</w:t>
      </w:r>
    </w:p>
    <w:p w14:paraId="63B56722" w14:textId="6346FBA0" w:rsidR="000B1F68" w:rsidRPr="00895589" w:rsidRDefault="000B1F68" w:rsidP="000B1F68">
      <w:r w:rsidRPr="00895589">
        <w:t xml:space="preserve">Postoperative visual acuity can be affected by various factors that cause visual impairment. These conditions include refractive errors such as myopia (blurred distance vision) and hyperopia (blurred near vision). Visual impairment can also arise from astigmatism, amblyopia, retinal detachment, macular degeneration, impaired blood flow to the eye (ischemia), glaucoma, corneal injuries, and other eye injuries. Visual acuity examination plays a crucial role because many treatments are more effective if detected early. </w:t>
      </w:r>
      <w:proofErr w:type="spellStart"/>
      <w:r w:rsidR="00544261" w:rsidRPr="00895589">
        <w:t>Rossanti</w:t>
      </w:r>
      <w:proofErr w:type="spellEnd"/>
      <w:r w:rsidR="00544261" w:rsidRPr="00895589">
        <w:t xml:space="preserve"> (2024) emphasized that determining the best visual acuity achievable with optimal correction is crucial.</w:t>
      </w:r>
    </w:p>
    <w:p w14:paraId="1E57A363" w14:textId="45E99E20" w:rsidR="00AE0D4A" w:rsidRPr="00895589" w:rsidRDefault="00AE0D4A" w:rsidP="00AE0D4A">
      <w:pPr>
        <w:pStyle w:val="Heading2"/>
        <w:rPr>
          <w:i w:val="0"/>
          <w:iCs/>
        </w:rPr>
      </w:pPr>
      <w:r w:rsidRPr="00895589">
        <w:rPr>
          <w:i w:val="0"/>
          <w:iCs/>
        </w:rPr>
        <w:t xml:space="preserve">2.4. </w:t>
      </w:r>
      <w:r w:rsidR="00015F4E" w:rsidRPr="00895589">
        <w:rPr>
          <w:i w:val="0"/>
          <w:iCs/>
        </w:rPr>
        <w:t xml:space="preserve">Short Axial Axis and Visual Outcomes </w:t>
      </w:r>
      <w:r w:rsidR="00D94C7E" w:rsidRPr="00895589">
        <w:rPr>
          <w:i w:val="0"/>
          <w:iCs/>
        </w:rPr>
        <w:t>after Cataract Surgery</w:t>
      </w:r>
    </w:p>
    <w:p w14:paraId="5A8154E2" w14:textId="4E78BBAF" w:rsidR="003F6A30" w:rsidRPr="00895589" w:rsidRDefault="00445B3A" w:rsidP="00F81D94">
      <w:pPr>
        <w:rPr>
          <w:lang w:val="en-US"/>
        </w:rPr>
      </w:pPr>
      <w:r w:rsidRPr="00895589">
        <w:rPr>
          <w:lang w:val="en-US"/>
        </w:rPr>
        <w:t>Axial length serves as a critical biometric parameter for determining accurate Intraocular Lens (IOL) power prior to cataract surgery. Precision during this measurement phase is paramount, as even a minor discrepancy of 0.1 mm can lead to a postoperative refractive error of approximately 0.27 diopters. Consequently, any subtle inaccuracy in calculating the required lens power can directly compromise the final visual outcome, emphasizing the necessity for flawless biometry to prevent unexpected postoperative refractive surprises.</w:t>
      </w:r>
      <w:r w:rsidR="00871B7F" w:rsidRPr="00895589">
        <w:rPr>
          <w:lang w:val="en-US"/>
        </w:rPr>
        <w:t xml:space="preserve"> </w:t>
      </w:r>
      <w:r w:rsidRPr="00895589">
        <w:rPr>
          <w:lang w:val="en-US"/>
        </w:rPr>
        <w:t xml:space="preserve">This clinical challenge becomes particularly pronounced in eyes characterized by a short axial length. </w:t>
      </w:r>
      <w:r w:rsidR="00544261" w:rsidRPr="00895589">
        <w:t xml:space="preserve">According to </w:t>
      </w:r>
      <w:proofErr w:type="spellStart"/>
      <w:r w:rsidR="00544261" w:rsidRPr="00895589">
        <w:t>Khoramnia</w:t>
      </w:r>
      <w:proofErr w:type="spellEnd"/>
      <w:r w:rsidR="00544261" w:rsidRPr="00895589">
        <w:t xml:space="preserve"> et al. (2022), such eyes typically exhibit a narrower anterior chamber, </w:t>
      </w:r>
      <w:r w:rsidR="00544261" w:rsidRPr="00895589">
        <w:lastRenderedPageBreak/>
        <w:t>making the prediction of the effective lens position more challenging and significantly increasing the risk of biometric error.</w:t>
      </w:r>
    </w:p>
    <w:p w14:paraId="04DF94F8" w14:textId="272CBC58" w:rsidR="00AB029C" w:rsidRPr="00895589" w:rsidRDefault="00445B3A" w:rsidP="00F81D94">
      <w:pPr>
        <w:rPr>
          <w:lang w:val="en-US"/>
        </w:rPr>
      </w:pPr>
      <w:r w:rsidRPr="00895589">
        <w:rPr>
          <w:lang w:val="en-US"/>
        </w:rPr>
        <w:t xml:space="preserve">Furthermore, minor adjustments in IOL power calculations induce much larger refractive shifts in short eyes than in those with longer axial dimensions. This anatomical variance increases the likelihood of residual refractive errors, including hyperopia or astigmatism, which ultimately </w:t>
      </w:r>
      <w:r w:rsidR="004F0218">
        <w:rPr>
          <w:lang w:val="en-US"/>
        </w:rPr>
        <w:t>diminishes</w:t>
      </w:r>
      <w:r w:rsidRPr="00895589">
        <w:rPr>
          <w:lang w:val="en-US"/>
        </w:rPr>
        <w:t xml:space="preserve"> uncorrected visual acuity. </w:t>
      </w:r>
      <w:r w:rsidR="00871B7F" w:rsidRPr="00895589">
        <w:rPr>
          <w:lang w:val="en-US"/>
        </w:rPr>
        <w:t>A</w:t>
      </w:r>
      <w:r w:rsidRPr="00895589">
        <w:rPr>
          <w:lang w:val="en-US"/>
        </w:rPr>
        <w:t xml:space="preserve"> short axial axis remains strongly associated with a higher discrepancy between predicted and actual refractive outcomes, frequently culminating in suboptimal postoperative vision</w:t>
      </w:r>
      <w:r w:rsidR="00871B7F" w:rsidRPr="00895589">
        <w:rPr>
          <w:lang w:val="en-US"/>
        </w:rPr>
        <w:t>.</w:t>
      </w:r>
      <w:r w:rsidR="00F81D94" w:rsidRPr="00895589">
        <w:rPr>
          <w:lang w:val="en-US"/>
        </w:rPr>
        <w:t xml:space="preserve"> </w:t>
      </w:r>
      <w:r w:rsidR="00C40C9C" w:rsidRPr="00895589">
        <w:t>A study by Cooke and Cooke (2016) demonstrated that eyes with shorter axial length are more susceptible to postoperative refractive prediction errors due to the greater influence of IOL power selection and effective lens position estimation, which may result in reduced postoperative uncorrected visual acuity</w:t>
      </w:r>
      <w:r w:rsidR="001E5D30" w:rsidRPr="00895589">
        <w:t xml:space="preserve">. </w:t>
      </w:r>
    </w:p>
    <w:p w14:paraId="0853C6B8" w14:textId="77777777" w:rsidR="00F81D94" w:rsidRPr="00895589" w:rsidRDefault="00F81D94" w:rsidP="00F81D94">
      <w:pPr>
        <w:rPr>
          <w:lang w:val="en-US"/>
        </w:rPr>
      </w:pPr>
    </w:p>
    <w:p w14:paraId="32A6922B" w14:textId="5866BE92" w:rsidR="00AB029C" w:rsidRPr="00895589" w:rsidRDefault="00AB029C" w:rsidP="00AB029C">
      <w:pPr>
        <w:ind w:firstLine="0"/>
        <w:rPr>
          <w:lang w:val="en-US"/>
        </w:rPr>
      </w:pPr>
      <w:r w:rsidRPr="00895589">
        <w:rPr>
          <w:lang w:val="en-US"/>
        </w:rPr>
        <w:t xml:space="preserve">H1: </w:t>
      </w:r>
      <w:r w:rsidR="005C3CE2" w:rsidRPr="00895589">
        <w:rPr>
          <w:lang w:val="en-US"/>
        </w:rPr>
        <w:t>There is a correlation between the short axial axis of the eyeball and visual outcomes after cataract surgery.</w:t>
      </w:r>
    </w:p>
    <w:p w14:paraId="78E703FE" w14:textId="77777777" w:rsidR="001E5D30" w:rsidRPr="00895589" w:rsidRDefault="001E5D30" w:rsidP="00AB029C">
      <w:pPr>
        <w:ind w:firstLine="0"/>
        <w:rPr>
          <w:lang w:val="en-US"/>
        </w:rPr>
      </w:pPr>
    </w:p>
    <w:p w14:paraId="6E927F6D" w14:textId="0EC96994" w:rsidR="00AE0D4A" w:rsidRPr="00895589" w:rsidRDefault="000856C2" w:rsidP="00655365">
      <w:pPr>
        <w:ind w:firstLine="0"/>
        <w:jc w:val="center"/>
      </w:pPr>
      <w:r w:rsidRPr="00895589">
        <w:rPr>
          <w:noProof/>
        </w:rPr>
        <mc:AlternateContent>
          <mc:Choice Requires="wps">
            <w:drawing>
              <wp:anchor distT="0" distB="0" distL="114300" distR="114300" simplePos="0" relativeHeight="251660288" behindDoc="0" locked="0" layoutInCell="1" allowOverlap="1" wp14:anchorId="4DC4E540" wp14:editId="5FE408DD">
                <wp:simplePos x="0" y="0"/>
                <wp:positionH relativeFrom="column">
                  <wp:posOffset>3880697</wp:posOffset>
                </wp:positionH>
                <wp:positionV relativeFrom="paragraph">
                  <wp:posOffset>794597</wp:posOffset>
                </wp:positionV>
                <wp:extent cx="266700" cy="0"/>
                <wp:effectExtent l="0" t="0" r="0" b="0"/>
                <wp:wrapNone/>
                <wp:docPr id="599399938" name="Straight Connector 2"/>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6462A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5.55pt,62.55pt" to="326.5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" strokecolor="black [3200]" strokeweight="1.5pt">
                <v:stroke joinstyle="miter"/>
              </v:line>
            </w:pict>
          </mc:Fallback>
        </mc:AlternateContent>
      </w:r>
      <w:r w:rsidR="008A6B61" w:rsidRPr="00895589">
        <w:rPr>
          <w:noProof/>
        </w:rPr>
        <mc:AlternateContent>
          <mc:Choice Requires="wps">
            <w:drawing>
              <wp:anchor distT="0" distB="0" distL="114300" distR="114300" simplePos="0" relativeHeight="251659264" behindDoc="0" locked="0" layoutInCell="1" allowOverlap="1" wp14:anchorId="307F02D6" wp14:editId="5A64ADBA">
                <wp:simplePos x="0" y="0"/>
                <wp:positionH relativeFrom="column">
                  <wp:posOffset>4003040</wp:posOffset>
                </wp:positionH>
                <wp:positionV relativeFrom="paragraph">
                  <wp:posOffset>593090</wp:posOffset>
                </wp:positionV>
                <wp:extent cx="137160" cy="198120"/>
                <wp:effectExtent l="0" t="0" r="0" b="0"/>
                <wp:wrapNone/>
                <wp:docPr id="175183614" name="Rectangle 1"/>
                <wp:cNvGraphicFramePr/>
                <a:graphic xmlns:a="http://schemas.openxmlformats.org/drawingml/2006/main">
                  <a:graphicData uri="http://schemas.microsoft.com/office/word/2010/wordprocessingShape">
                    <wps:wsp>
                      <wps:cNvSpPr/>
                      <wps:spPr>
                        <a:xfrm>
                          <a:off x="0" y="0"/>
                          <a:ext cx="137160" cy="19812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538DED2" id="Rectangle 1" o:spid="_x0000_s1026" style="position:absolute;margin-left:315.2pt;margin-top:46.7pt;width:10.8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" fillcolor="white [3201]" stroked="f" strokeweight="1pt"/>
            </w:pict>
          </mc:Fallback>
        </mc:AlternateContent>
      </w:r>
      <w:r w:rsidR="008A6B61" w:rsidRPr="00895589">
        <w:rPr>
          <w:noProof/>
        </w:rPr>
        <w:drawing>
          <wp:inline distT="0" distB="0" distL="0" distR="0" wp14:anchorId="3543139F" wp14:editId="4535745E">
            <wp:extent cx="3663950" cy="883794"/>
            <wp:effectExtent l="0" t="0" r="0" b="0"/>
            <wp:docPr id="52704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44441" name=""/>
                    <pic:cNvPicPr/>
                  </pic:nvPicPr>
                  <pic:blipFill>
                    <a:blip r:embed="rId14"/>
                    <a:stretch>
                      <a:fillRect/>
                    </a:stretch>
                  </pic:blipFill>
                  <pic:spPr>
                    <a:xfrm>
                      <a:off x="0" y="0"/>
                      <a:ext cx="3716179" cy="896392"/>
                    </a:xfrm>
                    <a:prstGeom prst="rect">
                      <a:avLst/>
                    </a:prstGeom>
                  </pic:spPr>
                </pic:pic>
              </a:graphicData>
            </a:graphic>
          </wp:inline>
        </w:drawing>
      </w:r>
    </w:p>
    <w:p w14:paraId="62FA11F0" w14:textId="77777777" w:rsidR="00544261" w:rsidRPr="00895589" w:rsidRDefault="00544261" w:rsidP="00B35EB0">
      <w:pPr>
        <w:ind w:firstLine="0"/>
        <w:jc w:val="center"/>
        <w:rPr>
          <w:b/>
          <w:bCs/>
          <w:sz w:val="20"/>
          <w:szCs w:val="20"/>
        </w:rPr>
      </w:pPr>
    </w:p>
    <w:p w14:paraId="6F6130D6" w14:textId="22D1BADA" w:rsidR="009C7490" w:rsidRPr="00895589" w:rsidRDefault="00655365" w:rsidP="00B35EB0">
      <w:pPr>
        <w:ind w:firstLine="0"/>
        <w:jc w:val="center"/>
        <w:rPr>
          <w:sz w:val="20"/>
          <w:szCs w:val="20"/>
        </w:rPr>
      </w:pPr>
      <w:r w:rsidRPr="00895589">
        <w:rPr>
          <w:b/>
          <w:bCs/>
          <w:sz w:val="20"/>
          <w:szCs w:val="20"/>
        </w:rPr>
        <w:t>Figu</w:t>
      </w:r>
      <w:r w:rsidR="00AB029C" w:rsidRPr="00895589">
        <w:rPr>
          <w:b/>
          <w:bCs/>
          <w:sz w:val="20"/>
          <w:szCs w:val="20"/>
        </w:rPr>
        <w:t>re 1.</w:t>
      </w:r>
      <w:r w:rsidR="00AB029C" w:rsidRPr="00895589">
        <w:rPr>
          <w:sz w:val="20"/>
          <w:szCs w:val="20"/>
        </w:rPr>
        <w:t xml:space="preserve"> Conceptual Framework</w:t>
      </w:r>
    </w:p>
    <w:p w14:paraId="321E751D" w14:textId="77777777" w:rsidR="00DF47AB" w:rsidRPr="00895589" w:rsidRDefault="00DF47AB" w:rsidP="00B35EB0">
      <w:pPr>
        <w:ind w:firstLine="0"/>
        <w:jc w:val="center"/>
        <w:rPr>
          <w:sz w:val="18"/>
          <w:szCs w:val="18"/>
        </w:rPr>
      </w:pPr>
    </w:p>
    <w:p w14:paraId="1E8461E3" w14:textId="0A04D81C" w:rsidR="00DF47AB" w:rsidRPr="00895589" w:rsidRDefault="00DF47AB" w:rsidP="00DF47AB">
      <w:r w:rsidRPr="00895589">
        <w:t xml:space="preserve">Figure 1 presents the conceptual framework of this study, which illustrates the correlation between </w:t>
      </w:r>
      <w:r w:rsidR="004F0218">
        <w:t xml:space="preserve">the </w:t>
      </w:r>
      <w:r w:rsidRPr="00895589">
        <w:t>short axial axis of the eyeball and visual outcomes after cataract surgery. The framework shows that short axial axis and postoperative visual outcomes are the two variables examined to determine whether an association exists between them. This correlation analysis aims to identify whether variations in axial length are related to differences in visual outcomes following cataract surgery. Therefore, the study focuses on evaluating the relationship between ocular biometric characteristics and postoperative visual results.</w:t>
      </w:r>
    </w:p>
    <w:p w14:paraId="730372F9" w14:textId="61942EAC" w:rsidR="00383648" w:rsidRPr="00895589" w:rsidRDefault="00383648" w:rsidP="009C60AF">
      <w:pPr>
        <w:pStyle w:val="Heading1"/>
        <w:tabs>
          <w:tab w:val="left" w:pos="4521"/>
        </w:tabs>
      </w:pPr>
      <w:r w:rsidRPr="00895589">
        <w:t>3. Methods</w:t>
      </w:r>
      <w:r w:rsidR="009C60AF" w:rsidRPr="00895589">
        <w:tab/>
      </w:r>
    </w:p>
    <w:p w14:paraId="685C894D" w14:textId="0E2EB06F" w:rsidR="00A31A83" w:rsidRPr="00895589" w:rsidRDefault="00A31A83" w:rsidP="00A31A83">
      <w:r w:rsidRPr="00895589">
        <w:t xml:space="preserve">This study employed an observational analytic design with a cross-sectional approach using secondary data from medical records of postoperative cataract patients at RSU Muhammadiyah Siti Aminah </w:t>
      </w:r>
      <w:proofErr w:type="spellStart"/>
      <w:r w:rsidRPr="00895589">
        <w:t>Bumiayu</w:t>
      </w:r>
      <w:proofErr w:type="spellEnd"/>
      <w:r w:rsidRPr="00895589">
        <w:t xml:space="preserve">. </w:t>
      </w:r>
      <w:r w:rsidR="009E6F1C" w:rsidRPr="00895589">
        <w:t xml:space="preserve">This design was chosen because it allows the researcher to </w:t>
      </w:r>
      <w:proofErr w:type="spellStart"/>
      <w:r w:rsidR="009E6F1C" w:rsidRPr="00895589">
        <w:t>analyze</w:t>
      </w:r>
      <w:proofErr w:type="spellEnd"/>
      <w:r w:rsidR="009E6F1C" w:rsidRPr="00895589">
        <w:t xml:space="preserve"> the association between short axial length and postoperative visual outcomes based on existing clinical data without intervention or modification of patient conditions. </w:t>
      </w:r>
      <w:r w:rsidRPr="00895589">
        <w:t xml:space="preserve">The study was conducted in February 2026, using records from January to December 2025. The population included all cataract surgery patients with complete medical records, particularly axial length and postoperative visual outcomes. Samples were selected using purposive sampling based on inclusion and exclusion criteria, and the minimum sample size of 84 patients was calculated using G*Power 3.1 with a bivariate correlation model, </w:t>
      </w:r>
      <w:r w:rsidRPr="00895589">
        <w:rPr>
          <w:rFonts w:hint="eastAsia"/>
        </w:rPr>
        <w:t>α</w:t>
      </w:r>
      <w:r w:rsidRPr="00895589">
        <w:t xml:space="preserve"> = 0.05, power = 0.80, and effect size r = 0.30.</w:t>
      </w:r>
    </w:p>
    <w:p w14:paraId="410C3793" w14:textId="5104D8C2" w:rsidR="00A31A83" w:rsidRPr="00895589" w:rsidRDefault="00A31A83" w:rsidP="00A31A83">
      <w:r w:rsidRPr="00895589">
        <w:t>The independent variable was short axial axis (&lt;22 mm), defined as the anteroposterior distance from cornea to retina measured via ocular biometry (</w:t>
      </w:r>
      <w:r w:rsidR="00E119A8" w:rsidRPr="00895589">
        <w:t>Pratama</w:t>
      </w:r>
      <w:r w:rsidRPr="00895589">
        <w:t xml:space="preserve">, 2024). The dependent variable was postoperative visual outcome measured using </w:t>
      </w:r>
      <w:proofErr w:type="spellStart"/>
      <w:r w:rsidRPr="00895589">
        <w:t>logMAR</w:t>
      </w:r>
      <w:proofErr w:type="spellEnd"/>
      <w:r w:rsidRPr="00895589">
        <w:t xml:space="preserve"> visual acuity derived from Snellen conversion (</w:t>
      </w:r>
      <w:proofErr w:type="spellStart"/>
      <w:r w:rsidRPr="00895589">
        <w:t>Rossanti</w:t>
      </w:r>
      <w:proofErr w:type="spellEnd"/>
      <w:r w:rsidRPr="00895589">
        <w:t xml:space="preserve">, 2024). Inclusion criteria comprised senile cataract patients undergoing phacoemulsification with complete preoperative axial length data and at least one-month postoperative visual outcome. Exclusion criteria included ocular </w:t>
      </w:r>
      <w:r w:rsidRPr="00895589">
        <w:lastRenderedPageBreak/>
        <w:t xml:space="preserve">comorbidities affecting vision, systemic diseases such as diabetes mellitus, intraoperative complications (posterior capsule rupture), postoperative complications (severe corneal </w:t>
      </w:r>
      <w:proofErr w:type="spellStart"/>
      <w:r w:rsidRPr="00895589">
        <w:rPr>
          <w:i/>
          <w:iCs/>
        </w:rPr>
        <w:t>edema</w:t>
      </w:r>
      <w:proofErr w:type="spellEnd"/>
      <w:r w:rsidRPr="00895589">
        <w:t xml:space="preserve"> or </w:t>
      </w:r>
      <w:r w:rsidRPr="00895589">
        <w:rPr>
          <w:i/>
          <w:iCs/>
        </w:rPr>
        <w:t>endophthalmitis</w:t>
      </w:r>
      <w:r w:rsidRPr="00895589">
        <w:t>), and incomplete records. Senile cataract was defined as age-related lens opacity diagnosed clinically in patients aged ≥50 years (</w:t>
      </w:r>
      <w:proofErr w:type="spellStart"/>
      <w:r w:rsidRPr="00895589">
        <w:t>Praja</w:t>
      </w:r>
      <w:proofErr w:type="spellEnd"/>
      <w:r w:rsidRPr="00895589">
        <w:t xml:space="preserve"> et al., 2023).</w:t>
      </w:r>
    </w:p>
    <w:p w14:paraId="0CBCCBC3" w14:textId="77777777" w:rsidR="00A31A83" w:rsidRPr="00895589" w:rsidRDefault="00A31A83" w:rsidP="00A31A83">
      <w:r w:rsidRPr="00895589">
        <w:t xml:space="preserve">This study used secondary data collected retrospectively from medical records of postoperative cataract patients at RSU Muhammadiyah Siti Aminah </w:t>
      </w:r>
      <w:proofErr w:type="spellStart"/>
      <w:r w:rsidRPr="00895589">
        <w:t>Bumiayu</w:t>
      </w:r>
      <w:proofErr w:type="spellEnd"/>
      <w:r w:rsidRPr="00895589">
        <w:t xml:space="preserve">. The collected variables included short axial axis and postoperative visual outcomes. Visual outcomes recorded in Snellen notation were converted into </w:t>
      </w:r>
      <w:proofErr w:type="spellStart"/>
      <w:r w:rsidRPr="00895589">
        <w:t>logMAR</w:t>
      </w:r>
      <w:proofErr w:type="spellEnd"/>
      <w:r w:rsidRPr="00895589">
        <w:t xml:space="preserve"> units to obtain a more objective and ratio-scaled measurement using a standard conversion formula.</w:t>
      </w:r>
    </w:p>
    <w:p w14:paraId="4BE76F0D" w14:textId="77777777" w:rsidR="00712DCA" w:rsidRPr="00895589" w:rsidRDefault="00712DCA" w:rsidP="00712DCA">
      <w:pPr>
        <w:pStyle w:val="ListParagraph"/>
        <w:ind w:left="1531"/>
        <w:rPr>
          <w:rFonts w:ascii="Calisto MT" w:eastAsiaTheme="minorEastAsia" w:hAnsi="Calisto MT"/>
          <w:lang w:val="it-IT"/>
        </w:rPr>
      </w:pPr>
      <w:r w:rsidRPr="00895589">
        <w:rPr>
          <w:rFonts w:ascii="Calisto MT" w:hAnsi="Calisto MT"/>
          <w:lang w:val="it-IT"/>
        </w:rPr>
        <w:t>logMAR = log</w:t>
      </w:r>
      <w:r w:rsidRPr="00895589">
        <w:rPr>
          <w:rFonts w:ascii="Calisto MT" w:hAnsi="Calisto MT"/>
          <w:vertAlign w:val="subscript"/>
          <w:lang w:val="it-IT"/>
        </w:rPr>
        <w:t xml:space="preserve">10 </w:t>
      </w:r>
      <w:r w:rsidRPr="00895589">
        <w:rPr>
          <w:rFonts w:ascii="Times New Roman" w:hAnsi="Times New Roman" w:cs="Times New Roman"/>
          <w:lang w:val="it-IT"/>
        </w:rPr>
        <w:t>​</w:t>
      </w:r>
      <m:oMath>
        <m:d>
          <m:dPr>
            <m:ctrlPr>
              <w:rPr>
                <w:rFonts w:ascii="Cambria Math" w:hAnsi="Cambria Math"/>
                <w:i/>
              </w:rPr>
            </m:ctrlPr>
          </m:dPr>
          <m:e>
            <m:f>
              <m:fPr>
                <m:ctrlPr>
                  <w:rPr>
                    <w:rFonts w:ascii="Cambria Math" w:hAnsi="Cambria Math"/>
                    <w:i/>
                    <w:vertAlign w:val="subscript"/>
                  </w:rPr>
                </m:ctrlPr>
              </m:fPr>
              <m:num>
                <m:r>
                  <w:rPr>
                    <w:rFonts w:ascii="Cambria Math" w:hAnsi="Cambria Math"/>
                    <w:vertAlign w:val="subscript"/>
                  </w:rPr>
                  <m:t>Snellen</m:t>
                </m:r>
                <m:r>
                  <w:rPr>
                    <w:rFonts w:ascii="Cambria Math" w:hAnsi="Cambria Math"/>
                    <w:vertAlign w:val="subscript"/>
                    <w:lang w:val="it-IT"/>
                  </w:rPr>
                  <m:t> </m:t>
                </m:r>
                <m:r>
                  <w:rPr>
                    <w:rFonts w:ascii="Cambria Math" w:hAnsi="Cambria Math"/>
                    <w:vertAlign w:val="subscript"/>
                  </w:rPr>
                  <m:t>denominator</m:t>
                </m:r>
              </m:num>
              <m:den>
                <m:r>
                  <w:rPr>
                    <w:rFonts w:ascii="Cambria Math" w:hAnsi="Cambria Math"/>
                    <w:vertAlign w:val="subscript"/>
                  </w:rPr>
                  <m:t>Snellen</m:t>
                </m:r>
                <m:r>
                  <w:rPr>
                    <w:rFonts w:ascii="Cambria Math" w:hAnsi="Cambria Math"/>
                    <w:vertAlign w:val="subscript"/>
                    <w:lang w:val="it-IT"/>
                  </w:rPr>
                  <m:t xml:space="preserve"> </m:t>
                </m:r>
                <m:r>
                  <w:rPr>
                    <w:rFonts w:ascii="Cambria Math" w:hAnsi="Cambria Math"/>
                    <w:vertAlign w:val="subscript"/>
                  </w:rPr>
                  <m:t>numerator</m:t>
                </m:r>
              </m:den>
            </m:f>
          </m:e>
        </m:d>
      </m:oMath>
    </w:p>
    <w:p w14:paraId="08763F9D" w14:textId="77777777" w:rsidR="00A31A83" w:rsidRPr="00895589" w:rsidRDefault="00A31A83" w:rsidP="00A31A83">
      <w:pPr>
        <w:rPr>
          <w:rFonts w:ascii="Calisto MT" w:hAnsi="Calisto MT"/>
          <w:lang w:val="it-IT"/>
        </w:rPr>
      </w:pPr>
    </w:p>
    <w:p w14:paraId="3B730C34" w14:textId="01B9BA88" w:rsidR="00A31A83" w:rsidRPr="00895589" w:rsidRDefault="00A31A83" w:rsidP="00A31A83">
      <w:r w:rsidRPr="00895589">
        <w:t xml:space="preserve">Data collection was conducted after obtaining ethical clearance and institutional permission. Secondary data were retrospectively obtained from </w:t>
      </w:r>
      <w:r w:rsidR="004F0218">
        <w:t xml:space="preserve">the </w:t>
      </w:r>
      <w:r w:rsidRPr="00895589">
        <w:t xml:space="preserve">medical records of postoperative cataract patients who met the inclusion and exclusion criteria. Relevant data were recorded in Microsoft Excel and prepared for statistical analysis. Visual acuity data recorded in Snellen format were converted into </w:t>
      </w:r>
      <w:proofErr w:type="spellStart"/>
      <w:r w:rsidRPr="00895589">
        <w:t>logMAR</w:t>
      </w:r>
      <w:proofErr w:type="spellEnd"/>
      <w:r w:rsidRPr="00895589">
        <w:t xml:space="preserve"> units to provide a more objective, ratio-scaled measurement. Data were then categorized based on short axial axis and postoperative visual outcomes.</w:t>
      </w:r>
    </w:p>
    <w:p w14:paraId="2779A56C" w14:textId="42947010" w:rsidR="00B35EB0" w:rsidRPr="00895589" w:rsidRDefault="009E6F1C" w:rsidP="00A31A83">
      <w:r w:rsidRPr="00895589">
        <w:t>The research process began with topic selection and literature review, followed by consultation with supervisors to finalize the study design. After obtaining ethical approval, data extraction was performed from eligible medical records. Data analysis was conducted using Statistical Package for the Social Sciences (SPSS) software. Univariate analysis was performed to describe patient characteristics, including age, sex, axial length, and preoperative and postoperative visual acuity, which were presented as frequency distributions, percentages, means, or medians depending on data distribution. Bivariate analysis was conducted to assess the relationship between short axial length and postoperative visual outcomes. Based on the results of normality testing, the Spearman correlation test was applied to determine the strength and direction of the association, with statistical significance interpreted using p-values</w:t>
      </w:r>
      <w:r w:rsidR="00A31A83" w:rsidRPr="00895589">
        <w:t>.</w:t>
      </w:r>
    </w:p>
    <w:p w14:paraId="10D6BF8E" w14:textId="77777777" w:rsidR="00383648" w:rsidRPr="00895589" w:rsidRDefault="00383648" w:rsidP="006D46CE">
      <w:pPr>
        <w:pStyle w:val="Heading1"/>
      </w:pPr>
      <w:r w:rsidRPr="00895589">
        <w:t>4. Results</w:t>
      </w:r>
    </w:p>
    <w:p w14:paraId="4D6FA3C1" w14:textId="77777777" w:rsidR="001A39CE" w:rsidRPr="00895589" w:rsidRDefault="001A39CE" w:rsidP="001A39CE">
      <w:pPr>
        <w:rPr>
          <w:lang w:val="en-US"/>
        </w:rPr>
      </w:pPr>
      <w:r w:rsidRPr="00895589">
        <w:rPr>
          <w:lang w:val="en-US"/>
        </w:rPr>
        <w:t xml:space="preserve">This study was conducted at RSU Muhammadiyah Siti Aminah </w:t>
      </w:r>
      <w:proofErr w:type="spellStart"/>
      <w:r w:rsidRPr="00895589">
        <w:rPr>
          <w:lang w:val="en-US"/>
        </w:rPr>
        <w:t>Bumiayu</w:t>
      </w:r>
      <w:proofErr w:type="spellEnd"/>
      <w:r w:rsidRPr="00895589">
        <w:rPr>
          <w:lang w:val="en-US"/>
        </w:rPr>
        <w:t>. Data collection and processing were carried out in February 2026 using secondary data from medical records of patients who underwent cataract surgery between January and December 2025. Subjects were selected based on predefined inclusion and exclusion criteria, resulting in 84 eligible patients included in the final analysis. The study aimed to analyze the correlation between short axial axis and postoperative visual outcomes after cataract surgery. The 84 included subjects represented senile cataract patients in a secondary healthcare setting, with variations in age, sex, biometric parameters, and preoperative visual acuity. These clinical characteristics provided essential context for interpreting postoperative visual outcomes and the correlation analysis performed in this study.</w:t>
      </w:r>
    </w:p>
    <w:p w14:paraId="77B6149C" w14:textId="4EEA0C89" w:rsidR="001E6769" w:rsidRPr="00895589" w:rsidRDefault="001A39CE" w:rsidP="001A39CE">
      <w:pPr>
        <w:rPr>
          <w:lang w:val="en-US"/>
        </w:rPr>
      </w:pPr>
      <w:r w:rsidRPr="00895589">
        <w:rPr>
          <w:lang w:val="en-US"/>
        </w:rPr>
        <w:t>Univariate analysis was performed to describe the characteristics of the study subjects. Based on the Kolmogorov–Smirnov normality test, numerical variables such as axial length and visual outcomes were not normally distributed (p = 0.01). Therefore, numerical data were presented as median and range (minimum–maximum), while categorical variables such as sex and age groups were presented as frequency (n) and percentage (%). The characteristics of the study subjects are presented in Table 1.</w:t>
      </w:r>
    </w:p>
    <w:p w14:paraId="399227FA" w14:textId="77777777" w:rsidR="001A39CE" w:rsidRPr="00895589" w:rsidRDefault="001A39CE" w:rsidP="001A39CE">
      <w:pPr>
        <w:ind w:firstLine="0"/>
        <w:rPr>
          <w:lang w:val="en-US"/>
        </w:rPr>
      </w:pPr>
    </w:p>
    <w:p w14:paraId="333D8CB4" w14:textId="7A63ACC1" w:rsidR="001A39CE" w:rsidRPr="00895589" w:rsidRDefault="001A39CE" w:rsidP="001A39CE">
      <w:pPr>
        <w:ind w:firstLine="0"/>
        <w:jc w:val="center"/>
        <w:rPr>
          <w:sz w:val="20"/>
          <w:szCs w:val="20"/>
          <w:lang w:val="en-US"/>
        </w:rPr>
      </w:pPr>
      <w:r w:rsidRPr="00895589">
        <w:rPr>
          <w:b/>
          <w:bCs/>
          <w:sz w:val="20"/>
          <w:szCs w:val="20"/>
          <w:lang w:val="en-US"/>
        </w:rPr>
        <w:lastRenderedPageBreak/>
        <w:t>Table 1.</w:t>
      </w:r>
      <w:r w:rsidRPr="00895589">
        <w:rPr>
          <w:sz w:val="20"/>
          <w:szCs w:val="20"/>
          <w:lang w:val="en-US"/>
        </w:rPr>
        <w:t xml:space="preserve"> Characteristics of Research Subjects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31"/>
        <w:gridCol w:w="1773"/>
        <w:gridCol w:w="1004"/>
        <w:gridCol w:w="2175"/>
      </w:tblGrid>
      <w:tr w:rsidR="007026AA" w:rsidRPr="00895589" w14:paraId="4E9471A7" w14:textId="77777777" w:rsidTr="007026AA">
        <w:tc>
          <w:tcPr>
            <w:tcW w:w="1691" w:type="pct"/>
          </w:tcPr>
          <w:p w14:paraId="4814020E" w14:textId="44E79363" w:rsidR="007026AA" w:rsidRPr="00895589" w:rsidRDefault="007026AA" w:rsidP="007026AA">
            <w:pPr>
              <w:ind w:firstLine="0"/>
              <w:rPr>
                <w:b/>
                <w:bCs/>
                <w:sz w:val="20"/>
                <w:szCs w:val="20"/>
                <w:lang w:val="en-US"/>
              </w:rPr>
            </w:pPr>
            <w:r w:rsidRPr="00895589">
              <w:rPr>
                <w:b/>
                <w:bCs/>
                <w:sz w:val="20"/>
                <w:szCs w:val="20"/>
                <w:lang w:val="en-US"/>
              </w:rPr>
              <w:t>Characteristic</w:t>
            </w:r>
          </w:p>
        </w:tc>
        <w:tc>
          <w:tcPr>
            <w:tcW w:w="1185" w:type="pct"/>
          </w:tcPr>
          <w:p w14:paraId="5CA5F499" w14:textId="49D26405" w:rsidR="007026AA" w:rsidRPr="00895589" w:rsidRDefault="007026AA" w:rsidP="00CE6CFC">
            <w:pPr>
              <w:ind w:firstLine="0"/>
              <w:jc w:val="center"/>
              <w:rPr>
                <w:b/>
                <w:bCs/>
                <w:sz w:val="20"/>
                <w:szCs w:val="20"/>
                <w:lang w:val="en-US"/>
              </w:rPr>
            </w:pPr>
            <w:r w:rsidRPr="00895589">
              <w:rPr>
                <w:b/>
                <w:bCs/>
                <w:sz w:val="20"/>
                <w:szCs w:val="20"/>
                <w:lang w:val="en-US"/>
              </w:rPr>
              <w:t>Category</w:t>
            </w:r>
          </w:p>
        </w:tc>
        <w:tc>
          <w:tcPr>
            <w:tcW w:w="671" w:type="pct"/>
            <w:vAlign w:val="center"/>
          </w:tcPr>
          <w:p w14:paraId="29B289FC" w14:textId="201EE78E" w:rsidR="007026AA" w:rsidRPr="00895589" w:rsidRDefault="007026AA" w:rsidP="00CE6CFC">
            <w:pPr>
              <w:ind w:firstLine="0"/>
              <w:jc w:val="center"/>
              <w:rPr>
                <w:b/>
                <w:bCs/>
                <w:sz w:val="20"/>
                <w:szCs w:val="20"/>
                <w:lang w:val="en-US"/>
              </w:rPr>
            </w:pPr>
            <w:r w:rsidRPr="00895589">
              <w:rPr>
                <w:b/>
                <w:bCs/>
                <w:sz w:val="20"/>
                <w:szCs w:val="20"/>
                <w:lang w:val="en-US"/>
              </w:rPr>
              <w:t>N</w:t>
            </w:r>
          </w:p>
        </w:tc>
        <w:tc>
          <w:tcPr>
            <w:tcW w:w="1453" w:type="pct"/>
            <w:vAlign w:val="center"/>
          </w:tcPr>
          <w:p w14:paraId="41643FB2" w14:textId="141A1B27" w:rsidR="007026AA" w:rsidRPr="00895589" w:rsidRDefault="007026AA" w:rsidP="00CE6CFC">
            <w:pPr>
              <w:ind w:firstLine="0"/>
              <w:jc w:val="center"/>
              <w:rPr>
                <w:b/>
                <w:bCs/>
                <w:sz w:val="20"/>
                <w:szCs w:val="20"/>
                <w:lang w:val="en-US"/>
              </w:rPr>
            </w:pPr>
            <w:r w:rsidRPr="00895589">
              <w:rPr>
                <w:b/>
                <w:bCs/>
                <w:sz w:val="20"/>
                <w:szCs w:val="20"/>
                <w:lang w:val="en-US"/>
              </w:rPr>
              <w:t>Percentage</w:t>
            </w:r>
          </w:p>
        </w:tc>
      </w:tr>
      <w:tr w:rsidR="007026AA" w:rsidRPr="00895589" w14:paraId="421DA499" w14:textId="77777777" w:rsidTr="007026AA">
        <w:tc>
          <w:tcPr>
            <w:tcW w:w="1691" w:type="pct"/>
            <w:vMerge w:val="restart"/>
            <w:vAlign w:val="center"/>
          </w:tcPr>
          <w:p w14:paraId="04661E81" w14:textId="25172244" w:rsidR="007026AA" w:rsidRPr="00895589" w:rsidRDefault="007026AA" w:rsidP="007026AA">
            <w:pPr>
              <w:ind w:firstLine="0"/>
              <w:rPr>
                <w:sz w:val="20"/>
                <w:szCs w:val="20"/>
              </w:rPr>
            </w:pPr>
            <w:r w:rsidRPr="00895589">
              <w:rPr>
                <w:sz w:val="20"/>
                <w:szCs w:val="20"/>
              </w:rPr>
              <w:t>Gender</w:t>
            </w:r>
          </w:p>
        </w:tc>
        <w:tc>
          <w:tcPr>
            <w:tcW w:w="1185" w:type="pct"/>
            <w:vAlign w:val="center"/>
          </w:tcPr>
          <w:p w14:paraId="163C3E3A" w14:textId="76F4936A" w:rsidR="007026AA" w:rsidRPr="00895589" w:rsidRDefault="007026AA" w:rsidP="007026AA">
            <w:pPr>
              <w:ind w:firstLine="0"/>
              <w:jc w:val="center"/>
              <w:rPr>
                <w:sz w:val="20"/>
                <w:szCs w:val="20"/>
              </w:rPr>
            </w:pPr>
            <w:r w:rsidRPr="00895589">
              <w:rPr>
                <w:sz w:val="20"/>
                <w:szCs w:val="20"/>
              </w:rPr>
              <w:t>Female</w:t>
            </w:r>
          </w:p>
        </w:tc>
        <w:tc>
          <w:tcPr>
            <w:tcW w:w="671" w:type="pct"/>
            <w:vAlign w:val="center"/>
          </w:tcPr>
          <w:p w14:paraId="05788C67" w14:textId="65A56C65" w:rsidR="007026AA" w:rsidRPr="00895589" w:rsidRDefault="007026AA" w:rsidP="007026AA">
            <w:pPr>
              <w:ind w:firstLine="0"/>
              <w:jc w:val="center"/>
              <w:rPr>
                <w:sz w:val="20"/>
                <w:szCs w:val="20"/>
                <w:lang w:val="en-US"/>
              </w:rPr>
            </w:pPr>
            <w:r w:rsidRPr="00895589">
              <w:rPr>
                <w:sz w:val="20"/>
                <w:szCs w:val="20"/>
              </w:rPr>
              <w:t>72</w:t>
            </w:r>
          </w:p>
        </w:tc>
        <w:tc>
          <w:tcPr>
            <w:tcW w:w="1453" w:type="pct"/>
            <w:vAlign w:val="center"/>
          </w:tcPr>
          <w:p w14:paraId="7CAF0D20" w14:textId="57D767CC" w:rsidR="007026AA" w:rsidRPr="00895589" w:rsidRDefault="007026AA" w:rsidP="007026AA">
            <w:pPr>
              <w:ind w:firstLine="0"/>
              <w:jc w:val="center"/>
              <w:rPr>
                <w:sz w:val="20"/>
                <w:szCs w:val="20"/>
                <w:lang w:val="en-US"/>
              </w:rPr>
            </w:pPr>
            <w:r w:rsidRPr="00895589">
              <w:rPr>
                <w:sz w:val="20"/>
                <w:szCs w:val="20"/>
              </w:rPr>
              <w:t>85.71</w:t>
            </w:r>
          </w:p>
        </w:tc>
      </w:tr>
      <w:tr w:rsidR="007026AA" w:rsidRPr="00895589" w14:paraId="38E71584" w14:textId="77777777" w:rsidTr="007026AA">
        <w:tc>
          <w:tcPr>
            <w:tcW w:w="1691" w:type="pct"/>
            <w:vMerge/>
            <w:vAlign w:val="center"/>
          </w:tcPr>
          <w:p w14:paraId="71267270" w14:textId="77777777" w:rsidR="007026AA" w:rsidRPr="00895589" w:rsidRDefault="007026AA" w:rsidP="007026AA">
            <w:pPr>
              <w:ind w:firstLine="0"/>
              <w:rPr>
                <w:sz w:val="20"/>
                <w:szCs w:val="20"/>
              </w:rPr>
            </w:pPr>
          </w:p>
        </w:tc>
        <w:tc>
          <w:tcPr>
            <w:tcW w:w="1185" w:type="pct"/>
            <w:vAlign w:val="center"/>
          </w:tcPr>
          <w:p w14:paraId="5338C758" w14:textId="1FC848E3" w:rsidR="007026AA" w:rsidRPr="00895589" w:rsidRDefault="007026AA" w:rsidP="007026AA">
            <w:pPr>
              <w:ind w:firstLine="0"/>
              <w:jc w:val="center"/>
              <w:rPr>
                <w:sz w:val="20"/>
                <w:szCs w:val="20"/>
              </w:rPr>
            </w:pPr>
            <w:r w:rsidRPr="00895589">
              <w:rPr>
                <w:sz w:val="20"/>
                <w:szCs w:val="20"/>
                <w:lang w:val="en-US"/>
              </w:rPr>
              <w:t>Male</w:t>
            </w:r>
          </w:p>
        </w:tc>
        <w:tc>
          <w:tcPr>
            <w:tcW w:w="671" w:type="pct"/>
            <w:vAlign w:val="center"/>
          </w:tcPr>
          <w:p w14:paraId="26F06DBD" w14:textId="202C0140" w:rsidR="007026AA" w:rsidRPr="00895589" w:rsidRDefault="007026AA" w:rsidP="007026AA">
            <w:pPr>
              <w:ind w:firstLine="0"/>
              <w:jc w:val="center"/>
              <w:rPr>
                <w:sz w:val="20"/>
                <w:szCs w:val="20"/>
                <w:lang w:val="en-US"/>
              </w:rPr>
            </w:pPr>
            <w:r w:rsidRPr="00895589">
              <w:rPr>
                <w:sz w:val="20"/>
                <w:szCs w:val="20"/>
              </w:rPr>
              <w:t>12</w:t>
            </w:r>
          </w:p>
        </w:tc>
        <w:tc>
          <w:tcPr>
            <w:tcW w:w="1453" w:type="pct"/>
            <w:vAlign w:val="center"/>
          </w:tcPr>
          <w:p w14:paraId="70AEB90F" w14:textId="0ED9AD04" w:rsidR="007026AA" w:rsidRPr="00895589" w:rsidRDefault="007026AA" w:rsidP="007026AA">
            <w:pPr>
              <w:ind w:firstLine="0"/>
              <w:jc w:val="center"/>
              <w:rPr>
                <w:sz w:val="20"/>
                <w:szCs w:val="20"/>
                <w:lang w:val="en-US"/>
              </w:rPr>
            </w:pPr>
            <w:r w:rsidRPr="00895589">
              <w:rPr>
                <w:sz w:val="20"/>
                <w:szCs w:val="20"/>
              </w:rPr>
              <w:t>14.28</w:t>
            </w:r>
          </w:p>
        </w:tc>
      </w:tr>
      <w:tr w:rsidR="007026AA" w:rsidRPr="00895589" w14:paraId="0BD52C22" w14:textId="77777777" w:rsidTr="007026AA">
        <w:tc>
          <w:tcPr>
            <w:tcW w:w="1691" w:type="pct"/>
            <w:vMerge w:val="restart"/>
            <w:vAlign w:val="center"/>
          </w:tcPr>
          <w:p w14:paraId="27C8097A" w14:textId="7AAC6E79" w:rsidR="007026AA" w:rsidRPr="00895589" w:rsidRDefault="007026AA" w:rsidP="007026AA">
            <w:pPr>
              <w:ind w:firstLine="0"/>
              <w:rPr>
                <w:sz w:val="20"/>
                <w:szCs w:val="20"/>
              </w:rPr>
            </w:pPr>
            <w:r w:rsidRPr="00895589">
              <w:rPr>
                <w:sz w:val="20"/>
                <w:szCs w:val="20"/>
              </w:rPr>
              <w:t>Age</w:t>
            </w:r>
          </w:p>
        </w:tc>
        <w:tc>
          <w:tcPr>
            <w:tcW w:w="1185" w:type="pct"/>
            <w:vAlign w:val="center"/>
          </w:tcPr>
          <w:p w14:paraId="0EFD1DC7" w14:textId="5FBAF263" w:rsidR="007026AA" w:rsidRPr="00895589" w:rsidRDefault="007026AA" w:rsidP="007026AA">
            <w:pPr>
              <w:ind w:firstLine="0"/>
              <w:jc w:val="center"/>
              <w:rPr>
                <w:sz w:val="20"/>
                <w:szCs w:val="20"/>
              </w:rPr>
            </w:pPr>
            <w:r w:rsidRPr="00895589">
              <w:rPr>
                <w:sz w:val="20"/>
                <w:szCs w:val="20"/>
              </w:rPr>
              <w:t>50-59 Years</w:t>
            </w:r>
          </w:p>
        </w:tc>
        <w:tc>
          <w:tcPr>
            <w:tcW w:w="671" w:type="pct"/>
            <w:vAlign w:val="center"/>
          </w:tcPr>
          <w:p w14:paraId="7CB4084E" w14:textId="444465AB" w:rsidR="007026AA" w:rsidRPr="00895589" w:rsidRDefault="007026AA" w:rsidP="007026AA">
            <w:pPr>
              <w:ind w:firstLine="0"/>
              <w:jc w:val="center"/>
              <w:rPr>
                <w:sz w:val="20"/>
                <w:szCs w:val="20"/>
                <w:lang w:val="en-US"/>
              </w:rPr>
            </w:pPr>
            <w:r w:rsidRPr="00895589">
              <w:rPr>
                <w:sz w:val="20"/>
                <w:szCs w:val="20"/>
              </w:rPr>
              <w:t>22</w:t>
            </w:r>
          </w:p>
        </w:tc>
        <w:tc>
          <w:tcPr>
            <w:tcW w:w="1453" w:type="pct"/>
            <w:vAlign w:val="center"/>
          </w:tcPr>
          <w:p w14:paraId="21AF970B" w14:textId="60AEB36B" w:rsidR="007026AA" w:rsidRPr="00895589" w:rsidRDefault="007026AA" w:rsidP="007026AA">
            <w:pPr>
              <w:ind w:firstLine="0"/>
              <w:jc w:val="center"/>
              <w:rPr>
                <w:sz w:val="20"/>
                <w:szCs w:val="20"/>
                <w:lang w:val="en-US"/>
              </w:rPr>
            </w:pPr>
            <w:r w:rsidRPr="00895589">
              <w:rPr>
                <w:sz w:val="20"/>
                <w:szCs w:val="20"/>
              </w:rPr>
              <w:t>26.19</w:t>
            </w:r>
          </w:p>
        </w:tc>
      </w:tr>
      <w:tr w:rsidR="007026AA" w:rsidRPr="00895589" w14:paraId="273CB1CB" w14:textId="77777777" w:rsidTr="007026AA">
        <w:tc>
          <w:tcPr>
            <w:tcW w:w="1691" w:type="pct"/>
            <w:vMerge/>
            <w:vAlign w:val="center"/>
          </w:tcPr>
          <w:p w14:paraId="33090543" w14:textId="77777777" w:rsidR="007026AA" w:rsidRPr="00895589" w:rsidRDefault="007026AA" w:rsidP="007026AA">
            <w:pPr>
              <w:ind w:firstLine="0"/>
              <w:jc w:val="center"/>
              <w:rPr>
                <w:sz w:val="20"/>
                <w:szCs w:val="20"/>
              </w:rPr>
            </w:pPr>
          </w:p>
        </w:tc>
        <w:tc>
          <w:tcPr>
            <w:tcW w:w="1185" w:type="pct"/>
            <w:vAlign w:val="center"/>
          </w:tcPr>
          <w:p w14:paraId="0E741945" w14:textId="21F1BC20" w:rsidR="007026AA" w:rsidRPr="00895589" w:rsidRDefault="007026AA" w:rsidP="007026AA">
            <w:pPr>
              <w:ind w:firstLine="0"/>
              <w:jc w:val="center"/>
              <w:rPr>
                <w:sz w:val="20"/>
                <w:szCs w:val="20"/>
              </w:rPr>
            </w:pPr>
            <w:r w:rsidRPr="00895589">
              <w:rPr>
                <w:sz w:val="20"/>
                <w:szCs w:val="20"/>
              </w:rPr>
              <w:t>60-69 Years</w:t>
            </w:r>
          </w:p>
        </w:tc>
        <w:tc>
          <w:tcPr>
            <w:tcW w:w="671" w:type="pct"/>
            <w:vAlign w:val="center"/>
          </w:tcPr>
          <w:p w14:paraId="04624D8B" w14:textId="1F6C07CD" w:rsidR="007026AA" w:rsidRPr="00895589" w:rsidRDefault="007026AA" w:rsidP="007026AA">
            <w:pPr>
              <w:ind w:firstLine="0"/>
              <w:jc w:val="center"/>
              <w:rPr>
                <w:sz w:val="20"/>
                <w:szCs w:val="20"/>
                <w:lang w:val="en-US"/>
              </w:rPr>
            </w:pPr>
            <w:r w:rsidRPr="00895589">
              <w:rPr>
                <w:sz w:val="20"/>
                <w:szCs w:val="20"/>
              </w:rPr>
              <w:t>42</w:t>
            </w:r>
          </w:p>
        </w:tc>
        <w:tc>
          <w:tcPr>
            <w:tcW w:w="1453" w:type="pct"/>
            <w:vAlign w:val="center"/>
          </w:tcPr>
          <w:p w14:paraId="4A45846B" w14:textId="3BA5D119" w:rsidR="007026AA" w:rsidRPr="00895589" w:rsidRDefault="007026AA" w:rsidP="007026AA">
            <w:pPr>
              <w:ind w:firstLine="0"/>
              <w:jc w:val="center"/>
              <w:rPr>
                <w:sz w:val="20"/>
                <w:szCs w:val="20"/>
                <w:lang w:val="en-US"/>
              </w:rPr>
            </w:pPr>
            <w:r w:rsidRPr="00895589">
              <w:rPr>
                <w:sz w:val="20"/>
                <w:szCs w:val="20"/>
              </w:rPr>
              <w:t>50.00</w:t>
            </w:r>
          </w:p>
        </w:tc>
      </w:tr>
      <w:tr w:rsidR="007026AA" w:rsidRPr="00895589" w14:paraId="4184665D" w14:textId="77777777" w:rsidTr="007026AA">
        <w:tc>
          <w:tcPr>
            <w:tcW w:w="1691" w:type="pct"/>
            <w:vMerge/>
            <w:vAlign w:val="center"/>
          </w:tcPr>
          <w:p w14:paraId="4BEBCF70" w14:textId="77777777" w:rsidR="007026AA" w:rsidRPr="00895589" w:rsidRDefault="007026AA" w:rsidP="007026AA">
            <w:pPr>
              <w:ind w:firstLine="0"/>
              <w:jc w:val="center"/>
              <w:rPr>
                <w:sz w:val="20"/>
                <w:szCs w:val="20"/>
                <w:lang w:val="en-US"/>
              </w:rPr>
            </w:pPr>
          </w:p>
        </w:tc>
        <w:tc>
          <w:tcPr>
            <w:tcW w:w="1185" w:type="pct"/>
            <w:vAlign w:val="center"/>
          </w:tcPr>
          <w:p w14:paraId="14794A98" w14:textId="51CACA47" w:rsidR="007026AA" w:rsidRPr="00895589" w:rsidRDefault="007026AA" w:rsidP="007026AA">
            <w:pPr>
              <w:ind w:firstLine="0"/>
              <w:jc w:val="center"/>
              <w:rPr>
                <w:sz w:val="20"/>
                <w:szCs w:val="20"/>
                <w:lang w:val="en-US"/>
              </w:rPr>
            </w:pPr>
            <w:r w:rsidRPr="00895589">
              <w:rPr>
                <w:sz w:val="20"/>
                <w:szCs w:val="20"/>
              </w:rPr>
              <w:t>70-79 Years</w:t>
            </w:r>
          </w:p>
        </w:tc>
        <w:tc>
          <w:tcPr>
            <w:tcW w:w="671" w:type="pct"/>
            <w:vAlign w:val="center"/>
          </w:tcPr>
          <w:p w14:paraId="0480B8F4" w14:textId="16FA1EB9" w:rsidR="007026AA" w:rsidRPr="00895589" w:rsidRDefault="007026AA" w:rsidP="007026AA">
            <w:pPr>
              <w:ind w:firstLine="0"/>
              <w:jc w:val="center"/>
              <w:rPr>
                <w:sz w:val="20"/>
                <w:szCs w:val="20"/>
                <w:lang w:val="en-US"/>
              </w:rPr>
            </w:pPr>
            <w:r w:rsidRPr="00895589">
              <w:rPr>
                <w:sz w:val="20"/>
                <w:szCs w:val="20"/>
                <w:lang w:val="en-US"/>
              </w:rPr>
              <w:t>15</w:t>
            </w:r>
          </w:p>
        </w:tc>
        <w:tc>
          <w:tcPr>
            <w:tcW w:w="1453" w:type="pct"/>
            <w:vAlign w:val="center"/>
          </w:tcPr>
          <w:p w14:paraId="59441B71" w14:textId="77D379AD" w:rsidR="007026AA" w:rsidRPr="00895589" w:rsidRDefault="007026AA" w:rsidP="007026AA">
            <w:pPr>
              <w:ind w:firstLine="0"/>
              <w:jc w:val="center"/>
              <w:rPr>
                <w:sz w:val="20"/>
                <w:szCs w:val="20"/>
                <w:lang w:val="en-US"/>
              </w:rPr>
            </w:pPr>
            <w:r w:rsidRPr="00895589">
              <w:rPr>
                <w:sz w:val="20"/>
                <w:szCs w:val="20"/>
                <w:lang w:val="en-US"/>
              </w:rPr>
              <w:t>17.85</w:t>
            </w:r>
          </w:p>
        </w:tc>
      </w:tr>
      <w:tr w:rsidR="007026AA" w:rsidRPr="00895589" w14:paraId="47305E07" w14:textId="77777777" w:rsidTr="007026AA">
        <w:tc>
          <w:tcPr>
            <w:tcW w:w="1691" w:type="pct"/>
            <w:vMerge/>
            <w:vAlign w:val="center"/>
          </w:tcPr>
          <w:p w14:paraId="7FBB6FC8" w14:textId="77777777" w:rsidR="007026AA" w:rsidRPr="00895589" w:rsidRDefault="007026AA" w:rsidP="007026AA">
            <w:pPr>
              <w:ind w:firstLine="0"/>
              <w:jc w:val="center"/>
              <w:rPr>
                <w:sz w:val="20"/>
                <w:szCs w:val="20"/>
                <w:lang w:val="en-US"/>
              </w:rPr>
            </w:pPr>
          </w:p>
        </w:tc>
        <w:tc>
          <w:tcPr>
            <w:tcW w:w="1185" w:type="pct"/>
            <w:vAlign w:val="center"/>
          </w:tcPr>
          <w:p w14:paraId="10FDFF16" w14:textId="6BBED78A" w:rsidR="007026AA" w:rsidRPr="00895589" w:rsidRDefault="007026AA" w:rsidP="007026AA">
            <w:pPr>
              <w:ind w:firstLine="0"/>
              <w:jc w:val="center"/>
              <w:rPr>
                <w:sz w:val="20"/>
                <w:szCs w:val="20"/>
                <w:lang w:val="en-US"/>
              </w:rPr>
            </w:pPr>
            <m:oMath>
              <m:r>
                <w:rPr>
                  <w:rFonts w:ascii="Cambria Math" w:hAnsi="Cambria Math"/>
                  <w:sz w:val="20"/>
                  <w:szCs w:val="20"/>
                </w:rPr>
                <m:t>≥</m:t>
              </m:r>
            </m:oMath>
            <w:r w:rsidRPr="00895589">
              <w:rPr>
                <w:rFonts w:eastAsiaTheme="minorEastAsia"/>
                <w:sz w:val="20"/>
                <w:szCs w:val="20"/>
              </w:rPr>
              <w:t xml:space="preserve"> 80 </w:t>
            </w:r>
            <w:r w:rsidRPr="00895589">
              <w:rPr>
                <w:sz w:val="20"/>
                <w:szCs w:val="20"/>
              </w:rPr>
              <w:t>Years</w:t>
            </w:r>
          </w:p>
        </w:tc>
        <w:tc>
          <w:tcPr>
            <w:tcW w:w="671" w:type="pct"/>
            <w:vAlign w:val="center"/>
          </w:tcPr>
          <w:p w14:paraId="707E77AA" w14:textId="0C2F6337" w:rsidR="007026AA" w:rsidRPr="00895589" w:rsidRDefault="007026AA" w:rsidP="007026AA">
            <w:pPr>
              <w:ind w:firstLine="0"/>
              <w:jc w:val="center"/>
              <w:rPr>
                <w:sz w:val="20"/>
                <w:szCs w:val="20"/>
                <w:lang w:val="en-US"/>
              </w:rPr>
            </w:pPr>
            <w:r w:rsidRPr="00895589">
              <w:rPr>
                <w:sz w:val="20"/>
                <w:szCs w:val="20"/>
                <w:lang w:val="en-US"/>
              </w:rPr>
              <w:t>5</w:t>
            </w:r>
          </w:p>
        </w:tc>
        <w:tc>
          <w:tcPr>
            <w:tcW w:w="1453" w:type="pct"/>
            <w:vAlign w:val="center"/>
          </w:tcPr>
          <w:p w14:paraId="3EC1AB4B" w14:textId="6621A97C" w:rsidR="007026AA" w:rsidRPr="00895589" w:rsidRDefault="007026AA" w:rsidP="007026AA">
            <w:pPr>
              <w:ind w:firstLine="0"/>
              <w:jc w:val="center"/>
              <w:rPr>
                <w:sz w:val="20"/>
                <w:szCs w:val="20"/>
                <w:lang w:val="en-US"/>
              </w:rPr>
            </w:pPr>
            <w:r w:rsidRPr="00895589">
              <w:rPr>
                <w:sz w:val="20"/>
                <w:szCs w:val="20"/>
                <w:lang w:val="en-US"/>
              </w:rPr>
              <w:t>5.95</w:t>
            </w:r>
          </w:p>
        </w:tc>
      </w:tr>
    </w:tbl>
    <w:p w14:paraId="79C11431" w14:textId="77777777" w:rsidR="00890260" w:rsidRPr="00895589" w:rsidRDefault="00890260" w:rsidP="001A39CE">
      <w:pPr>
        <w:ind w:firstLine="0"/>
        <w:jc w:val="center"/>
        <w:rPr>
          <w:sz w:val="20"/>
          <w:szCs w:val="20"/>
          <w:lang w:val="en-US"/>
        </w:rPr>
      </w:pPr>
    </w:p>
    <w:p w14:paraId="40C5D6E7" w14:textId="77777777" w:rsidR="00B21CE9" w:rsidRPr="00895589" w:rsidRDefault="00B21CE9" w:rsidP="00B21CE9">
      <w:r w:rsidRPr="00895589">
        <w:t>Based on the data presented in Table 1, a total of 84 subjects were included in this study. The majority of participants were female, accounting for 72 patients (85.71%), while male participants comprised only 12 patients (14.28%). This finding indicates that women represented the predominant proportion of cataract patients undergoing treatment during the study period. The higher proportion of female patients may reflect demographic characteristics of the study population as well as the tendency for women to have a longer life expectancy, thereby increasing the likelihood of developing age-related ocular conditions.</w:t>
      </w:r>
    </w:p>
    <w:p w14:paraId="17B450CD" w14:textId="23305EDA" w:rsidR="008A6B61" w:rsidRPr="00895589" w:rsidRDefault="00B21CE9" w:rsidP="008A6B61">
      <w:r w:rsidRPr="00895589">
        <w:t>Regarding age distribution, most participants were within the 60–69 years age group, consisting of 42 patients (50.00%). This was followed by the 50–59 years age group with 22 patients (26.19%), the 70–79 years age group with 15 patients (17.85%), and the ≥80 years age group with 5 patients (5.95%). These findings indicate that cataract cases were predominantly observed among older adults, particularly those in their sixth and seventh decades of life. The relatively lower proportion of patients in the oldest age category may be related to the smaller number of individuals surviving to advanced ages or seeking surgical treatment. The demographic profile of the study subjects suggests that cataracts primarily affected elderly individuals, with the highest concentration occurring among women aged 60–69 years, highlighting the strong association between increasing age and the occurrence of cataract-related visual impairment.</w:t>
      </w:r>
    </w:p>
    <w:p w14:paraId="0FF75F1B" w14:textId="77777777" w:rsidR="00423562" w:rsidRPr="00895589" w:rsidRDefault="00423562" w:rsidP="001A39CE">
      <w:pPr>
        <w:ind w:firstLine="0"/>
        <w:jc w:val="center"/>
        <w:rPr>
          <w:sz w:val="20"/>
          <w:szCs w:val="20"/>
          <w:lang w:val="en-US"/>
        </w:rPr>
      </w:pPr>
    </w:p>
    <w:p w14:paraId="7A286210" w14:textId="22EF9674" w:rsidR="00423562" w:rsidRPr="00895589" w:rsidRDefault="00FC73FF" w:rsidP="001A39CE">
      <w:pPr>
        <w:ind w:firstLine="0"/>
        <w:jc w:val="center"/>
        <w:rPr>
          <w:sz w:val="20"/>
          <w:szCs w:val="20"/>
          <w:lang w:val="en-US"/>
        </w:rPr>
      </w:pPr>
      <w:r w:rsidRPr="00895589">
        <w:rPr>
          <w:b/>
          <w:bCs/>
          <w:sz w:val="20"/>
          <w:szCs w:val="20"/>
          <w:lang w:val="en-US"/>
        </w:rPr>
        <w:t>Table 2.</w:t>
      </w:r>
      <w:r w:rsidRPr="00895589">
        <w:rPr>
          <w:sz w:val="20"/>
          <w:szCs w:val="20"/>
          <w:lang w:val="en-US"/>
        </w:rPr>
        <w:t xml:space="preserve"> Descriptive Statistics of Research Variables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6"/>
        <w:gridCol w:w="940"/>
        <w:gridCol w:w="940"/>
        <w:gridCol w:w="1308"/>
        <w:gridCol w:w="2029"/>
      </w:tblGrid>
      <w:tr w:rsidR="00423562" w:rsidRPr="00895589" w14:paraId="509514D8" w14:textId="77777777" w:rsidTr="00423562">
        <w:tc>
          <w:tcPr>
            <w:tcW w:w="1514" w:type="pct"/>
            <w:vAlign w:val="center"/>
            <w:hideMark/>
          </w:tcPr>
          <w:p w14:paraId="6730173F" w14:textId="77777777" w:rsidR="00423562" w:rsidRPr="00895589" w:rsidRDefault="00423562" w:rsidP="00423562">
            <w:pPr>
              <w:pStyle w:val="NoSpacing"/>
              <w:rPr>
                <w:b/>
                <w:bCs/>
                <w:sz w:val="20"/>
                <w:szCs w:val="20"/>
              </w:rPr>
            </w:pPr>
            <w:r w:rsidRPr="00895589">
              <w:rPr>
                <w:b/>
                <w:bCs/>
                <w:sz w:val="20"/>
                <w:szCs w:val="20"/>
              </w:rPr>
              <w:t>Statistic</w:t>
            </w:r>
          </w:p>
        </w:tc>
        <w:tc>
          <w:tcPr>
            <w:tcW w:w="628" w:type="pct"/>
            <w:vAlign w:val="center"/>
            <w:hideMark/>
          </w:tcPr>
          <w:p w14:paraId="3AF8ACEB" w14:textId="77777777" w:rsidR="00423562" w:rsidRPr="00895589" w:rsidRDefault="00423562" w:rsidP="00423562">
            <w:pPr>
              <w:pStyle w:val="NoSpacing"/>
              <w:jc w:val="center"/>
              <w:rPr>
                <w:b/>
                <w:bCs/>
                <w:sz w:val="20"/>
                <w:szCs w:val="20"/>
              </w:rPr>
            </w:pPr>
            <w:r w:rsidRPr="00895589">
              <w:rPr>
                <w:b/>
                <w:bCs/>
                <w:sz w:val="20"/>
                <w:szCs w:val="20"/>
              </w:rPr>
              <w:t>TIO</w:t>
            </w:r>
          </w:p>
        </w:tc>
        <w:tc>
          <w:tcPr>
            <w:tcW w:w="628" w:type="pct"/>
            <w:vAlign w:val="center"/>
            <w:hideMark/>
          </w:tcPr>
          <w:p w14:paraId="710E95D3" w14:textId="77777777" w:rsidR="00423562" w:rsidRPr="00895589" w:rsidRDefault="00423562" w:rsidP="00423562">
            <w:pPr>
              <w:pStyle w:val="NoSpacing"/>
              <w:jc w:val="center"/>
              <w:rPr>
                <w:b/>
                <w:bCs/>
                <w:sz w:val="20"/>
                <w:szCs w:val="20"/>
              </w:rPr>
            </w:pPr>
            <w:r w:rsidRPr="00895589">
              <w:rPr>
                <w:b/>
                <w:bCs/>
                <w:sz w:val="20"/>
                <w:szCs w:val="20"/>
              </w:rPr>
              <w:t>Axial</w:t>
            </w:r>
          </w:p>
        </w:tc>
        <w:tc>
          <w:tcPr>
            <w:tcW w:w="874" w:type="pct"/>
            <w:vAlign w:val="center"/>
            <w:hideMark/>
          </w:tcPr>
          <w:p w14:paraId="5796B36A" w14:textId="798C7FA2" w:rsidR="00423562" w:rsidRPr="00895589" w:rsidRDefault="00423562" w:rsidP="00423562">
            <w:pPr>
              <w:pStyle w:val="NoSpacing"/>
              <w:jc w:val="center"/>
              <w:rPr>
                <w:b/>
                <w:bCs/>
                <w:sz w:val="20"/>
                <w:szCs w:val="20"/>
              </w:rPr>
            </w:pPr>
            <w:proofErr w:type="spellStart"/>
            <w:r w:rsidRPr="00895589">
              <w:rPr>
                <w:b/>
                <w:bCs/>
                <w:sz w:val="20"/>
                <w:szCs w:val="20"/>
              </w:rPr>
              <w:t>Visus</w:t>
            </w:r>
            <w:proofErr w:type="spellEnd"/>
            <w:r w:rsidRPr="00895589">
              <w:rPr>
                <w:b/>
                <w:bCs/>
                <w:sz w:val="20"/>
                <w:szCs w:val="20"/>
              </w:rPr>
              <w:t xml:space="preserve"> Pre</w:t>
            </w:r>
            <w:r w:rsidR="0098714E" w:rsidRPr="00895589">
              <w:rPr>
                <w:b/>
                <w:bCs/>
                <w:sz w:val="20"/>
                <w:szCs w:val="20"/>
              </w:rPr>
              <w:t xml:space="preserve"> (</w:t>
            </w:r>
            <w:proofErr w:type="spellStart"/>
            <w:r w:rsidR="0098714E" w:rsidRPr="00895589">
              <w:rPr>
                <w:b/>
                <w:bCs/>
                <w:sz w:val="20"/>
                <w:szCs w:val="20"/>
              </w:rPr>
              <w:t>LogMar</w:t>
            </w:r>
            <w:proofErr w:type="spellEnd"/>
            <w:r w:rsidR="0098714E" w:rsidRPr="00895589">
              <w:rPr>
                <w:b/>
                <w:bCs/>
                <w:sz w:val="20"/>
                <w:szCs w:val="20"/>
              </w:rPr>
              <w:t>)</w:t>
            </w:r>
          </w:p>
        </w:tc>
        <w:tc>
          <w:tcPr>
            <w:tcW w:w="1356" w:type="pct"/>
            <w:vAlign w:val="center"/>
            <w:hideMark/>
          </w:tcPr>
          <w:p w14:paraId="4B6DDBC6" w14:textId="77777777" w:rsidR="00423562" w:rsidRPr="00895589" w:rsidRDefault="00423562" w:rsidP="00423562">
            <w:pPr>
              <w:pStyle w:val="NoSpacing"/>
              <w:jc w:val="center"/>
              <w:rPr>
                <w:b/>
                <w:bCs/>
                <w:sz w:val="20"/>
                <w:szCs w:val="20"/>
              </w:rPr>
            </w:pPr>
            <w:r w:rsidRPr="00895589">
              <w:rPr>
                <w:b/>
                <w:bCs/>
                <w:sz w:val="20"/>
                <w:szCs w:val="20"/>
              </w:rPr>
              <w:t>Outcome Visual</w:t>
            </w:r>
          </w:p>
        </w:tc>
      </w:tr>
      <w:tr w:rsidR="00423562" w:rsidRPr="00895589" w14:paraId="42F7BA69" w14:textId="77777777" w:rsidTr="00423562">
        <w:tc>
          <w:tcPr>
            <w:tcW w:w="1514" w:type="pct"/>
            <w:vAlign w:val="center"/>
            <w:hideMark/>
          </w:tcPr>
          <w:p w14:paraId="69FF7961" w14:textId="77777777" w:rsidR="00423562" w:rsidRPr="00895589" w:rsidRDefault="00423562" w:rsidP="00423562">
            <w:pPr>
              <w:pStyle w:val="NoSpacing"/>
              <w:rPr>
                <w:sz w:val="20"/>
                <w:szCs w:val="20"/>
              </w:rPr>
            </w:pPr>
            <w:r w:rsidRPr="00895589">
              <w:rPr>
                <w:sz w:val="20"/>
                <w:szCs w:val="20"/>
              </w:rPr>
              <w:t>Median</w:t>
            </w:r>
          </w:p>
        </w:tc>
        <w:tc>
          <w:tcPr>
            <w:tcW w:w="628" w:type="pct"/>
            <w:vAlign w:val="center"/>
            <w:hideMark/>
          </w:tcPr>
          <w:p w14:paraId="08E0759A" w14:textId="77777777" w:rsidR="00423562" w:rsidRPr="00895589" w:rsidRDefault="00423562" w:rsidP="00423562">
            <w:pPr>
              <w:pStyle w:val="NoSpacing"/>
              <w:jc w:val="center"/>
              <w:rPr>
                <w:sz w:val="20"/>
                <w:szCs w:val="20"/>
              </w:rPr>
            </w:pPr>
            <w:r w:rsidRPr="00895589">
              <w:rPr>
                <w:sz w:val="20"/>
                <w:szCs w:val="20"/>
              </w:rPr>
              <w:t>14.000</w:t>
            </w:r>
          </w:p>
        </w:tc>
        <w:tc>
          <w:tcPr>
            <w:tcW w:w="628" w:type="pct"/>
            <w:vAlign w:val="center"/>
            <w:hideMark/>
          </w:tcPr>
          <w:p w14:paraId="260C55FC" w14:textId="77777777" w:rsidR="00423562" w:rsidRPr="00895589" w:rsidRDefault="00423562" w:rsidP="00423562">
            <w:pPr>
              <w:pStyle w:val="NoSpacing"/>
              <w:jc w:val="center"/>
              <w:rPr>
                <w:sz w:val="20"/>
                <w:szCs w:val="20"/>
              </w:rPr>
            </w:pPr>
            <w:r w:rsidRPr="00895589">
              <w:rPr>
                <w:sz w:val="20"/>
                <w:szCs w:val="20"/>
              </w:rPr>
              <w:t>21.570</w:t>
            </w:r>
          </w:p>
        </w:tc>
        <w:tc>
          <w:tcPr>
            <w:tcW w:w="874" w:type="pct"/>
            <w:vAlign w:val="center"/>
            <w:hideMark/>
          </w:tcPr>
          <w:p w14:paraId="424B7180" w14:textId="77777777" w:rsidR="00423562" w:rsidRPr="00895589" w:rsidRDefault="00423562" w:rsidP="00423562">
            <w:pPr>
              <w:pStyle w:val="NoSpacing"/>
              <w:jc w:val="center"/>
              <w:rPr>
                <w:sz w:val="20"/>
                <w:szCs w:val="20"/>
              </w:rPr>
            </w:pPr>
            <w:r w:rsidRPr="00895589">
              <w:rPr>
                <w:sz w:val="20"/>
                <w:szCs w:val="20"/>
              </w:rPr>
              <w:t>1.176</w:t>
            </w:r>
          </w:p>
        </w:tc>
        <w:tc>
          <w:tcPr>
            <w:tcW w:w="1356" w:type="pct"/>
            <w:vAlign w:val="center"/>
            <w:hideMark/>
          </w:tcPr>
          <w:p w14:paraId="634E03E1" w14:textId="77777777" w:rsidR="00423562" w:rsidRPr="00895589" w:rsidRDefault="00423562" w:rsidP="00423562">
            <w:pPr>
              <w:pStyle w:val="NoSpacing"/>
              <w:jc w:val="center"/>
              <w:rPr>
                <w:sz w:val="20"/>
                <w:szCs w:val="20"/>
              </w:rPr>
            </w:pPr>
            <w:r w:rsidRPr="00895589">
              <w:rPr>
                <w:sz w:val="20"/>
                <w:szCs w:val="20"/>
              </w:rPr>
              <w:t>1.137</w:t>
            </w:r>
          </w:p>
        </w:tc>
      </w:tr>
      <w:tr w:rsidR="00423562" w:rsidRPr="00895589" w14:paraId="3DB6373E" w14:textId="77777777" w:rsidTr="00423562">
        <w:tc>
          <w:tcPr>
            <w:tcW w:w="1514" w:type="pct"/>
            <w:vAlign w:val="center"/>
            <w:hideMark/>
          </w:tcPr>
          <w:p w14:paraId="34B728A9" w14:textId="77777777" w:rsidR="00423562" w:rsidRPr="00895589" w:rsidRDefault="00423562" w:rsidP="00423562">
            <w:pPr>
              <w:pStyle w:val="NoSpacing"/>
              <w:rPr>
                <w:sz w:val="20"/>
                <w:szCs w:val="20"/>
              </w:rPr>
            </w:pPr>
            <w:r w:rsidRPr="00895589">
              <w:rPr>
                <w:sz w:val="20"/>
                <w:szCs w:val="20"/>
              </w:rPr>
              <w:t>Mean</w:t>
            </w:r>
          </w:p>
        </w:tc>
        <w:tc>
          <w:tcPr>
            <w:tcW w:w="628" w:type="pct"/>
            <w:vAlign w:val="center"/>
            <w:hideMark/>
          </w:tcPr>
          <w:p w14:paraId="719F9F0D" w14:textId="77777777" w:rsidR="00423562" w:rsidRPr="00895589" w:rsidRDefault="00423562" w:rsidP="00423562">
            <w:pPr>
              <w:pStyle w:val="NoSpacing"/>
              <w:jc w:val="center"/>
              <w:rPr>
                <w:sz w:val="20"/>
                <w:szCs w:val="20"/>
              </w:rPr>
            </w:pPr>
            <w:r w:rsidRPr="00895589">
              <w:rPr>
                <w:sz w:val="20"/>
                <w:szCs w:val="20"/>
              </w:rPr>
              <w:t>15.107</w:t>
            </w:r>
          </w:p>
        </w:tc>
        <w:tc>
          <w:tcPr>
            <w:tcW w:w="628" w:type="pct"/>
            <w:vAlign w:val="center"/>
            <w:hideMark/>
          </w:tcPr>
          <w:p w14:paraId="13A5B6C1" w14:textId="77777777" w:rsidR="00423562" w:rsidRPr="00895589" w:rsidRDefault="00423562" w:rsidP="00423562">
            <w:pPr>
              <w:pStyle w:val="NoSpacing"/>
              <w:jc w:val="center"/>
              <w:rPr>
                <w:sz w:val="20"/>
                <w:szCs w:val="20"/>
              </w:rPr>
            </w:pPr>
            <w:r w:rsidRPr="00895589">
              <w:rPr>
                <w:sz w:val="20"/>
                <w:szCs w:val="20"/>
              </w:rPr>
              <w:t>21.544</w:t>
            </w:r>
          </w:p>
        </w:tc>
        <w:tc>
          <w:tcPr>
            <w:tcW w:w="874" w:type="pct"/>
            <w:vAlign w:val="center"/>
            <w:hideMark/>
          </w:tcPr>
          <w:p w14:paraId="5760B57F" w14:textId="77777777" w:rsidR="00423562" w:rsidRPr="00895589" w:rsidRDefault="00423562" w:rsidP="00423562">
            <w:pPr>
              <w:pStyle w:val="NoSpacing"/>
              <w:jc w:val="center"/>
              <w:rPr>
                <w:sz w:val="20"/>
                <w:szCs w:val="20"/>
              </w:rPr>
            </w:pPr>
            <w:r w:rsidRPr="00895589">
              <w:rPr>
                <w:sz w:val="20"/>
                <w:szCs w:val="20"/>
              </w:rPr>
              <w:t>1.176</w:t>
            </w:r>
          </w:p>
        </w:tc>
        <w:tc>
          <w:tcPr>
            <w:tcW w:w="1356" w:type="pct"/>
            <w:vAlign w:val="center"/>
            <w:hideMark/>
          </w:tcPr>
          <w:p w14:paraId="341FA97F" w14:textId="77777777" w:rsidR="00423562" w:rsidRPr="00895589" w:rsidRDefault="00423562" w:rsidP="00423562">
            <w:pPr>
              <w:pStyle w:val="NoSpacing"/>
              <w:jc w:val="center"/>
              <w:rPr>
                <w:sz w:val="20"/>
                <w:szCs w:val="20"/>
              </w:rPr>
            </w:pPr>
            <w:r w:rsidRPr="00895589">
              <w:rPr>
                <w:sz w:val="20"/>
                <w:szCs w:val="20"/>
              </w:rPr>
              <w:t>1.173</w:t>
            </w:r>
          </w:p>
        </w:tc>
      </w:tr>
      <w:tr w:rsidR="00423562" w:rsidRPr="00895589" w14:paraId="6D2A5618" w14:textId="77777777" w:rsidTr="00423562">
        <w:tc>
          <w:tcPr>
            <w:tcW w:w="1514" w:type="pct"/>
            <w:vAlign w:val="center"/>
            <w:hideMark/>
          </w:tcPr>
          <w:p w14:paraId="127211A7" w14:textId="77777777" w:rsidR="00423562" w:rsidRPr="00895589" w:rsidRDefault="00423562" w:rsidP="00423562">
            <w:pPr>
              <w:pStyle w:val="NoSpacing"/>
              <w:rPr>
                <w:sz w:val="20"/>
                <w:szCs w:val="20"/>
              </w:rPr>
            </w:pPr>
            <w:r w:rsidRPr="00895589">
              <w:rPr>
                <w:sz w:val="20"/>
                <w:szCs w:val="20"/>
              </w:rPr>
              <w:t>Standard Deviation</w:t>
            </w:r>
          </w:p>
        </w:tc>
        <w:tc>
          <w:tcPr>
            <w:tcW w:w="628" w:type="pct"/>
            <w:vAlign w:val="center"/>
            <w:hideMark/>
          </w:tcPr>
          <w:p w14:paraId="3D1BFC20" w14:textId="77777777" w:rsidR="00423562" w:rsidRPr="00895589" w:rsidRDefault="00423562" w:rsidP="00423562">
            <w:pPr>
              <w:pStyle w:val="NoSpacing"/>
              <w:jc w:val="center"/>
              <w:rPr>
                <w:sz w:val="20"/>
                <w:szCs w:val="20"/>
              </w:rPr>
            </w:pPr>
            <w:r w:rsidRPr="00895589">
              <w:rPr>
                <w:sz w:val="20"/>
                <w:szCs w:val="20"/>
              </w:rPr>
              <w:t>3.457</w:t>
            </w:r>
          </w:p>
        </w:tc>
        <w:tc>
          <w:tcPr>
            <w:tcW w:w="628" w:type="pct"/>
            <w:vAlign w:val="center"/>
            <w:hideMark/>
          </w:tcPr>
          <w:p w14:paraId="75A423E6" w14:textId="77777777" w:rsidR="00423562" w:rsidRPr="00895589" w:rsidRDefault="00423562" w:rsidP="00423562">
            <w:pPr>
              <w:pStyle w:val="NoSpacing"/>
              <w:jc w:val="center"/>
              <w:rPr>
                <w:sz w:val="20"/>
                <w:szCs w:val="20"/>
              </w:rPr>
            </w:pPr>
            <w:r w:rsidRPr="00895589">
              <w:rPr>
                <w:sz w:val="20"/>
                <w:szCs w:val="20"/>
              </w:rPr>
              <w:t>0.337</w:t>
            </w:r>
          </w:p>
        </w:tc>
        <w:tc>
          <w:tcPr>
            <w:tcW w:w="874" w:type="pct"/>
            <w:vAlign w:val="center"/>
            <w:hideMark/>
          </w:tcPr>
          <w:p w14:paraId="35022B50" w14:textId="77777777" w:rsidR="00423562" w:rsidRPr="00895589" w:rsidRDefault="00423562" w:rsidP="00423562">
            <w:pPr>
              <w:pStyle w:val="NoSpacing"/>
              <w:jc w:val="center"/>
              <w:rPr>
                <w:sz w:val="20"/>
                <w:szCs w:val="20"/>
              </w:rPr>
            </w:pPr>
            <w:r w:rsidRPr="00895589">
              <w:rPr>
                <w:sz w:val="20"/>
                <w:szCs w:val="20"/>
              </w:rPr>
              <w:t>0.560</w:t>
            </w:r>
          </w:p>
        </w:tc>
        <w:tc>
          <w:tcPr>
            <w:tcW w:w="1356" w:type="pct"/>
            <w:vAlign w:val="center"/>
            <w:hideMark/>
          </w:tcPr>
          <w:p w14:paraId="2F44602C" w14:textId="77777777" w:rsidR="00423562" w:rsidRPr="00895589" w:rsidRDefault="00423562" w:rsidP="00423562">
            <w:pPr>
              <w:pStyle w:val="NoSpacing"/>
              <w:jc w:val="center"/>
              <w:rPr>
                <w:sz w:val="20"/>
                <w:szCs w:val="20"/>
              </w:rPr>
            </w:pPr>
            <w:r w:rsidRPr="00895589">
              <w:rPr>
                <w:sz w:val="20"/>
                <w:szCs w:val="20"/>
              </w:rPr>
              <w:t>0.687</w:t>
            </w:r>
          </w:p>
        </w:tc>
      </w:tr>
      <w:tr w:rsidR="00423562" w:rsidRPr="00895589" w14:paraId="4C4F1606" w14:textId="77777777" w:rsidTr="00423562">
        <w:tc>
          <w:tcPr>
            <w:tcW w:w="1514" w:type="pct"/>
            <w:vAlign w:val="center"/>
            <w:hideMark/>
          </w:tcPr>
          <w:p w14:paraId="0C35B5F5" w14:textId="77777777" w:rsidR="00423562" w:rsidRPr="00895589" w:rsidRDefault="00423562" w:rsidP="00423562">
            <w:pPr>
              <w:pStyle w:val="NoSpacing"/>
              <w:rPr>
                <w:sz w:val="20"/>
                <w:szCs w:val="20"/>
              </w:rPr>
            </w:pPr>
            <w:r w:rsidRPr="00895589">
              <w:rPr>
                <w:sz w:val="20"/>
                <w:szCs w:val="20"/>
              </w:rPr>
              <w:t>Minimum</w:t>
            </w:r>
          </w:p>
        </w:tc>
        <w:tc>
          <w:tcPr>
            <w:tcW w:w="628" w:type="pct"/>
            <w:vAlign w:val="center"/>
            <w:hideMark/>
          </w:tcPr>
          <w:p w14:paraId="03922663" w14:textId="77777777" w:rsidR="00423562" w:rsidRPr="00895589" w:rsidRDefault="00423562" w:rsidP="00423562">
            <w:pPr>
              <w:pStyle w:val="NoSpacing"/>
              <w:jc w:val="center"/>
              <w:rPr>
                <w:sz w:val="20"/>
                <w:szCs w:val="20"/>
              </w:rPr>
            </w:pPr>
            <w:r w:rsidRPr="00895589">
              <w:rPr>
                <w:sz w:val="20"/>
                <w:szCs w:val="20"/>
              </w:rPr>
              <w:t>10.000</w:t>
            </w:r>
          </w:p>
        </w:tc>
        <w:tc>
          <w:tcPr>
            <w:tcW w:w="628" w:type="pct"/>
            <w:vAlign w:val="center"/>
            <w:hideMark/>
          </w:tcPr>
          <w:p w14:paraId="18D76827" w14:textId="77777777" w:rsidR="00423562" w:rsidRPr="00895589" w:rsidRDefault="00423562" w:rsidP="00423562">
            <w:pPr>
              <w:pStyle w:val="NoSpacing"/>
              <w:jc w:val="center"/>
              <w:rPr>
                <w:sz w:val="20"/>
                <w:szCs w:val="20"/>
              </w:rPr>
            </w:pPr>
            <w:r w:rsidRPr="00895589">
              <w:rPr>
                <w:sz w:val="20"/>
                <w:szCs w:val="20"/>
              </w:rPr>
              <w:t>20.470</w:t>
            </w:r>
          </w:p>
        </w:tc>
        <w:tc>
          <w:tcPr>
            <w:tcW w:w="874" w:type="pct"/>
            <w:vAlign w:val="center"/>
            <w:hideMark/>
          </w:tcPr>
          <w:p w14:paraId="1AC35EE3" w14:textId="77777777" w:rsidR="00423562" w:rsidRPr="00895589" w:rsidRDefault="00423562" w:rsidP="00423562">
            <w:pPr>
              <w:pStyle w:val="NoSpacing"/>
              <w:jc w:val="center"/>
              <w:rPr>
                <w:sz w:val="20"/>
                <w:szCs w:val="20"/>
              </w:rPr>
            </w:pPr>
            <w:r w:rsidRPr="00895589">
              <w:rPr>
                <w:sz w:val="20"/>
                <w:szCs w:val="20"/>
              </w:rPr>
              <w:t>0.398</w:t>
            </w:r>
          </w:p>
        </w:tc>
        <w:tc>
          <w:tcPr>
            <w:tcW w:w="1356" w:type="pct"/>
            <w:vAlign w:val="center"/>
            <w:hideMark/>
          </w:tcPr>
          <w:p w14:paraId="541BDF37" w14:textId="77777777" w:rsidR="00423562" w:rsidRPr="00895589" w:rsidRDefault="00423562" w:rsidP="00423562">
            <w:pPr>
              <w:pStyle w:val="NoSpacing"/>
              <w:jc w:val="center"/>
              <w:rPr>
                <w:sz w:val="20"/>
                <w:szCs w:val="20"/>
              </w:rPr>
            </w:pPr>
            <w:r w:rsidRPr="00895589">
              <w:rPr>
                <w:sz w:val="20"/>
                <w:szCs w:val="20"/>
              </w:rPr>
              <w:t>0.000</w:t>
            </w:r>
          </w:p>
        </w:tc>
      </w:tr>
      <w:tr w:rsidR="00423562" w:rsidRPr="00895589" w14:paraId="67413CDE" w14:textId="77777777" w:rsidTr="00423562">
        <w:tc>
          <w:tcPr>
            <w:tcW w:w="1514" w:type="pct"/>
            <w:vAlign w:val="center"/>
            <w:hideMark/>
          </w:tcPr>
          <w:p w14:paraId="110CC43E" w14:textId="77777777" w:rsidR="00423562" w:rsidRPr="00895589" w:rsidRDefault="00423562" w:rsidP="00423562">
            <w:pPr>
              <w:pStyle w:val="NoSpacing"/>
              <w:rPr>
                <w:sz w:val="20"/>
                <w:szCs w:val="20"/>
              </w:rPr>
            </w:pPr>
            <w:r w:rsidRPr="00895589">
              <w:rPr>
                <w:sz w:val="20"/>
                <w:szCs w:val="20"/>
              </w:rPr>
              <w:t>Maximum</w:t>
            </w:r>
          </w:p>
        </w:tc>
        <w:tc>
          <w:tcPr>
            <w:tcW w:w="628" w:type="pct"/>
            <w:vAlign w:val="center"/>
            <w:hideMark/>
          </w:tcPr>
          <w:p w14:paraId="31D12CC1" w14:textId="77777777" w:rsidR="00423562" w:rsidRPr="00895589" w:rsidRDefault="00423562" w:rsidP="00423562">
            <w:pPr>
              <w:pStyle w:val="NoSpacing"/>
              <w:jc w:val="center"/>
              <w:rPr>
                <w:sz w:val="20"/>
                <w:szCs w:val="20"/>
              </w:rPr>
            </w:pPr>
            <w:r w:rsidRPr="00895589">
              <w:rPr>
                <w:sz w:val="20"/>
                <w:szCs w:val="20"/>
              </w:rPr>
              <w:t>26.000</w:t>
            </w:r>
          </w:p>
        </w:tc>
        <w:tc>
          <w:tcPr>
            <w:tcW w:w="628" w:type="pct"/>
            <w:vAlign w:val="center"/>
            <w:hideMark/>
          </w:tcPr>
          <w:p w14:paraId="40AEC4BA" w14:textId="77777777" w:rsidR="00423562" w:rsidRPr="00895589" w:rsidRDefault="00423562" w:rsidP="00423562">
            <w:pPr>
              <w:pStyle w:val="NoSpacing"/>
              <w:jc w:val="center"/>
              <w:rPr>
                <w:sz w:val="20"/>
                <w:szCs w:val="20"/>
              </w:rPr>
            </w:pPr>
            <w:r w:rsidRPr="00895589">
              <w:rPr>
                <w:sz w:val="20"/>
                <w:szCs w:val="20"/>
              </w:rPr>
              <w:t>21.990</w:t>
            </w:r>
          </w:p>
        </w:tc>
        <w:tc>
          <w:tcPr>
            <w:tcW w:w="874" w:type="pct"/>
            <w:vAlign w:val="center"/>
            <w:hideMark/>
          </w:tcPr>
          <w:p w14:paraId="0BBDDA88" w14:textId="77777777" w:rsidR="00423562" w:rsidRPr="00895589" w:rsidRDefault="00423562" w:rsidP="00423562">
            <w:pPr>
              <w:pStyle w:val="NoSpacing"/>
              <w:jc w:val="center"/>
              <w:rPr>
                <w:sz w:val="20"/>
                <w:szCs w:val="20"/>
              </w:rPr>
            </w:pPr>
            <w:r w:rsidRPr="00895589">
              <w:rPr>
                <w:sz w:val="20"/>
                <w:szCs w:val="20"/>
              </w:rPr>
              <w:t>2.477</w:t>
            </w:r>
          </w:p>
        </w:tc>
        <w:tc>
          <w:tcPr>
            <w:tcW w:w="1356" w:type="pct"/>
            <w:vAlign w:val="center"/>
            <w:hideMark/>
          </w:tcPr>
          <w:p w14:paraId="0D754769" w14:textId="77777777" w:rsidR="00423562" w:rsidRPr="00895589" w:rsidRDefault="00423562" w:rsidP="00423562">
            <w:pPr>
              <w:pStyle w:val="NoSpacing"/>
              <w:jc w:val="center"/>
              <w:rPr>
                <w:sz w:val="20"/>
                <w:szCs w:val="20"/>
              </w:rPr>
            </w:pPr>
            <w:r w:rsidRPr="00895589">
              <w:rPr>
                <w:sz w:val="20"/>
                <w:szCs w:val="20"/>
              </w:rPr>
              <w:t>2.477</w:t>
            </w:r>
          </w:p>
        </w:tc>
      </w:tr>
    </w:tbl>
    <w:p w14:paraId="24F6D6A4" w14:textId="77777777" w:rsidR="002E7321" w:rsidRPr="00895589" w:rsidRDefault="002E7321" w:rsidP="001A39CE">
      <w:pPr>
        <w:ind w:firstLine="0"/>
        <w:jc w:val="center"/>
        <w:rPr>
          <w:sz w:val="20"/>
          <w:szCs w:val="20"/>
          <w:lang w:val="en-US"/>
        </w:rPr>
      </w:pPr>
    </w:p>
    <w:p w14:paraId="6AA3EE55" w14:textId="77777777" w:rsidR="00916B77" w:rsidRPr="00895589" w:rsidRDefault="00916B77" w:rsidP="00916B77">
      <w:r w:rsidRPr="00895589">
        <w:t>Based on Table 2, the median short axial length among the study subjects was 21.57 mm, with a range of 20.47–21.99 mm. This relatively narrow range indicates that the axial length characteristics of the subjects were fairly homogeneous and consistently fell within the category of short axial eyes. Such homogeneity is important because it minimizes biometric variability that could potentially influence the study outcomes, allowing for a more focused evaluation of the relationship between axial length and postoperative visual outcomes. Furthermore, the concentration of measurements within a limited range suggests that the sample shared similar anatomical ocular characteristics, thereby providing a more representative assessment of patients with short axial lengths. The mean axial length was 21.54 ± 0.34 mm, further supporting the observation that the study population exhibited relatively uniform ocular biometric features.</w:t>
      </w:r>
    </w:p>
    <w:p w14:paraId="2AB5A8A3" w14:textId="609274D6" w:rsidR="00EA52A4" w:rsidRPr="00895589" w:rsidRDefault="00916B77" w:rsidP="001A39CE">
      <w:r w:rsidRPr="00895589">
        <w:t xml:space="preserve">Preoperative visual acuity had a median value of 1.17 </w:t>
      </w:r>
      <w:proofErr w:type="spellStart"/>
      <w:r w:rsidRPr="00895589">
        <w:t>logMAR</w:t>
      </w:r>
      <w:proofErr w:type="spellEnd"/>
      <w:r w:rsidRPr="00895589">
        <w:t xml:space="preserve">, ranging from 0.39 to 2.47 </w:t>
      </w:r>
      <w:proofErr w:type="spellStart"/>
      <w:r w:rsidRPr="00895589">
        <w:t>logMAR</w:t>
      </w:r>
      <w:proofErr w:type="spellEnd"/>
      <w:r w:rsidRPr="00895589">
        <w:t xml:space="preserve">, indicating varying degrees of visual impairment prior to cataract surgery. The wide range of preoperative visual acuity values reflects the heterogeneity in the severity of cataract-related visual impairment among the </w:t>
      </w:r>
      <w:r w:rsidRPr="00895589">
        <w:lastRenderedPageBreak/>
        <w:t xml:space="preserve">subjects at presentation. Following surgery, the median visual outcome improved to 1.13 </w:t>
      </w:r>
      <w:proofErr w:type="spellStart"/>
      <w:r w:rsidRPr="00895589">
        <w:t>logMAR</w:t>
      </w:r>
      <w:proofErr w:type="spellEnd"/>
      <w:r w:rsidRPr="00895589">
        <w:t xml:space="preserve">, with a range of 0.00–2.47 </w:t>
      </w:r>
      <w:proofErr w:type="spellStart"/>
      <w:r w:rsidRPr="00895589">
        <w:t>logMAR</w:t>
      </w:r>
      <w:proofErr w:type="spellEnd"/>
      <w:r w:rsidRPr="00895589">
        <w:t xml:space="preserve">. The reduction in </w:t>
      </w:r>
      <w:proofErr w:type="spellStart"/>
      <w:r w:rsidRPr="00895589">
        <w:t>logMAR</w:t>
      </w:r>
      <w:proofErr w:type="spellEnd"/>
      <w:r w:rsidRPr="00895589">
        <w:t xml:space="preserve"> values reflects an overall improvement in visual acuity, as lower </w:t>
      </w:r>
      <w:proofErr w:type="spellStart"/>
      <w:r w:rsidRPr="00895589">
        <w:t>logMAR</w:t>
      </w:r>
      <w:proofErr w:type="spellEnd"/>
      <w:r w:rsidRPr="00895589">
        <w:t xml:space="preserve"> scores correspond to better visual function. In addition, the postoperative minimum value of 0.00 </w:t>
      </w:r>
      <w:proofErr w:type="spellStart"/>
      <w:r w:rsidRPr="00895589">
        <w:t>logMAR</w:t>
      </w:r>
      <w:proofErr w:type="spellEnd"/>
      <w:r w:rsidRPr="00895589">
        <w:t xml:space="preserve"> indicates that some patients achieved excellent visual outcomes after surgery. However, the postoperative median remaining above 0.00 </w:t>
      </w:r>
      <w:proofErr w:type="spellStart"/>
      <w:r w:rsidRPr="00895589">
        <w:t>logMAR</w:t>
      </w:r>
      <w:proofErr w:type="spellEnd"/>
      <w:r w:rsidRPr="00895589">
        <w:t xml:space="preserve"> suggests that despite varying degrees of postoperative visual improvement, most subjects still experienced reduced visual acuity, and only a small proportion achieved normal vision. This finding implies that although cataract surgery generally improved visual performance in patients with short axial length, postoperative visual outcomes may still be influenced by individual ocular characteristics and other clinical factors beyond axial length alone</w:t>
      </w:r>
      <w:r w:rsidR="00FB39BC" w:rsidRPr="00895589">
        <w:rPr>
          <w:lang w:val="en-US"/>
        </w:rPr>
        <w:t>.</w:t>
      </w:r>
    </w:p>
    <w:p w14:paraId="564C39B8" w14:textId="483649B5" w:rsidR="00916B77" w:rsidRPr="00895589" w:rsidRDefault="00916B77" w:rsidP="00916B77">
      <w:r w:rsidRPr="00895589">
        <w:t xml:space="preserve">Bivariate analysis was conducted to examine the relationship between short axial length and postoperative visual outcomes after cataract surgery. The normality test using the Kolmogorov–Smirnov method indicated that the data were not normally distributed (p &lt; 0.05). Therefore, the Spearman rank correlation test was employed to assess the strength and direction of the association between the two variables. The results of the correlation analysis are presented in Table </w:t>
      </w:r>
      <w:r w:rsidR="00411B5E" w:rsidRPr="00895589">
        <w:t>3.</w:t>
      </w:r>
    </w:p>
    <w:p w14:paraId="16A90D94" w14:textId="77777777" w:rsidR="005920ED" w:rsidRPr="00895589" w:rsidRDefault="005920ED" w:rsidP="005920ED">
      <w:pPr>
        <w:ind w:firstLine="0"/>
        <w:rPr>
          <w:lang w:val="en-US"/>
        </w:rPr>
      </w:pPr>
    </w:p>
    <w:p w14:paraId="129AD20F" w14:textId="7441F484" w:rsidR="005920ED" w:rsidRPr="00895589" w:rsidRDefault="005920ED" w:rsidP="00D95CBE">
      <w:pPr>
        <w:ind w:firstLine="0"/>
        <w:jc w:val="center"/>
        <w:rPr>
          <w:sz w:val="20"/>
          <w:szCs w:val="20"/>
          <w:lang w:val="en-US"/>
        </w:rPr>
      </w:pPr>
      <w:r w:rsidRPr="00895589">
        <w:rPr>
          <w:b/>
          <w:bCs/>
          <w:sz w:val="20"/>
          <w:szCs w:val="20"/>
          <w:lang w:val="en-US"/>
        </w:rPr>
        <w:t xml:space="preserve">Table </w:t>
      </w:r>
      <w:r w:rsidR="00544261" w:rsidRPr="00895589">
        <w:rPr>
          <w:b/>
          <w:bCs/>
          <w:sz w:val="20"/>
          <w:szCs w:val="20"/>
          <w:lang w:val="en-US"/>
        </w:rPr>
        <w:t>3</w:t>
      </w:r>
      <w:r w:rsidRPr="00895589">
        <w:rPr>
          <w:b/>
          <w:bCs/>
          <w:sz w:val="20"/>
          <w:szCs w:val="20"/>
          <w:lang w:val="en-US"/>
        </w:rPr>
        <w:t>.</w:t>
      </w:r>
      <w:r w:rsidRPr="00895589">
        <w:rPr>
          <w:sz w:val="20"/>
          <w:szCs w:val="20"/>
          <w:lang w:val="en-US"/>
        </w:rPr>
        <w:t xml:space="preserve"> Correlation </w:t>
      </w:r>
      <w:r w:rsidR="00D95CBE" w:rsidRPr="00895589">
        <w:rPr>
          <w:sz w:val="20"/>
          <w:szCs w:val="20"/>
          <w:lang w:val="en-US"/>
        </w:rPr>
        <w:t>Spearman</w:t>
      </w:r>
      <w:r w:rsidRPr="00895589">
        <w:rPr>
          <w:sz w:val="20"/>
          <w:szCs w:val="20"/>
          <w:lang w:val="en-US"/>
        </w:rPr>
        <w:t xml:space="preserve">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50"/>
        <w:gridCol w:w="4323"/>
      </w:tblGrid>
      <w:tr w:rsidR="005920ED" w:rsidRPr="00895589" w14:paraId="09CA3423" w14:textId="77777777" w:rsidTr="00D95CBE">
        <w:tc>
          <w:tcPr>
            <w:tcW w:w="3150" w:type="dxa"/>
          </w:tcPr>
          <w:p w14:paraId="412A461B" w14:textId="70FB96A9" w:rsidR="005920ED" w:rsidRPr="00895589" w:rsidRDefault="005920ED" w:rsidP="005920ED">
            <w:pPr>
              <w:ind w:firstLine="0"/>
              <w:rPr>
                <w:b/>
                <w:bCs/>
                <w:sz w:val="20"/>
                <w:szCs w:val="20"/>
                <w:lang w:val="en-US"/>
              </w:rPr>
            </w:pPr>
            <w:r w:rsidRPr="00895589">
              <w:rPr>
                <w:b/>
                <w:bCs/>
                <w:sz w:val="20"/>
                <w:szCs w:val="20"/>
                <w:lang w:val="en-US"/>
              </w:rPr>
              <w:t>Variable</w:t>
            </w:r>
          </w:p>
        </w:tc>
        <w:tc>
          <w:tcPr>
            <w:tcW w:w="4323" w:type="dxa"/>
          </w:tcPr>
          <w:p w14:paraId="0DD043EB" w14:textId="76B990C9" w:rsidR="005920ED" w:rsidRPr="00895589" w:rsidRDefault="00542FB4" w:rsidP="00D95CBE">
            <w:pPr>
              <w:ind w:firstLine="0"/>
              <w:jc w:val="center"/>
              <w:rPr>
                <w:b/>
                <w:bCs/>
                <w:sz w:val="20"/>
                <w:szCs w:val="20"/>
                <w:lang w:val="en-US"/>
              </w:rPr>
            </w:pPr>
            <w:r w:rsidRPr="00895589">
              <w:rPr>
                <w:b/>
                <w:bCs/>
                <w:sz w:val="20"/>
                <w:szCs w:val="20"/>
              </w:rPr>
              <w:t>Short Axial Length – Visual Outcome</w:t>
            </w:r>
          </w:p>
        </w:tc>
      </w:tr>
      <w:tr w:rsidR="005920ED" w:rsidRPr="00895589" w14:paraId="20DFB7BC" w14:textId="77777777" w:rsidTr="00D95CBE">
        <w:tc>
          <w:tcPr>
            <w:tcW w:w="3150" w:type="dxa"/>
          </w:tcPr>
          <w:p w14:paraId="2D3EEB2C" w14:textId="1C6FA3DC" w:rsidR="005920ED" w:rsidRPr="00895589" w:rsidRDefault="00D95CBE" w:rsidP="005920ED">
            <w:pPr>
              <w:ind w:firstLine="0"/>
              <w:rPr>
                <w:sz w:val="20"/>
                <w:szCs w:val="20"/>
                <w:lang w:val="en-US"/>
              </w:rPr>
            </w:pPr>
            <w:r w:rsidRPr="00895589">
              <w:rPr>
                <w:sz w:val="20"/>
                <w:szCs w:val="20"/>
                <w:lang w:val="en-US"/>
              </w:rPr>
              <w:t>Spearman</w:t>
            </w:r>
            <w:r w:rsidR="00CA41C8" w:rsidRPr="00895589">
              <w:rPr>
                <w:sz w:val="20"/>
                <w:szCs w:val="20"/>
                <w:lang w:val="en-US"/>
              </w:rPr>
              <w:t>’</w:t>
            </w:r>
            <w:r w:rsidRPr="00895589">
              <w:rPr>
                <w:sz w:val="20"/>
                <w:szCs w:val="20"/>
                <w:lang w:val="en-US"/>
              </w:rPr>
              <w:t>s rho</w:t>
            </w:r>
          </w:p>
        </w:tc>
        <w:tc>
          <w:tcPr>
            <w:tcW w:w="4323" w:type="dxa"/>
          </w:tcPr>
          <w:p w14:paraId="61D0C342" w14:textId="5308F459" w:rsidR="005920ED" w:rsidRPr="00895589" w:rsidRDefault="00D95CBE" w:rsidP="00D95CBE">
            <w:pPr>
              <w:ind w:firstLine="0"/>
              <w:jc w:val="center"/>
              <w:rPr>
                <w:sz w:val="20"/>
                <w:szCs w:val="20"/>
                <w:lang w:val="en-US"/>
              </w:rPr>
            </w:pPr>
            <w:r w:rsidRPr="00895589">
              <w:rPr>
                <w:sz w:val="20"/>
                <w:szCs w:val="20"/>
                <w:lang w:val="en-US"/>
              </w:rPr>
              <w:t>0.27</w:t>
            </w:r>
          </w:p>
        </w:tc>
      </w:tr>
      <w:tr w:rsidR="005920ED" w:rsidRPr="00895589" w14:paraId="1BFB6A2D" w14:textId="77777777" w:rsidTr="00D95CBE">
        <w:tc>
          <w:tcPr>
            <w:tcW w:w="3150" w:type="dxa"/>
          </w:tcPr>
          <w:p w14:paraId="41986B55" w14:textId="4B5B5868" w:rsidR="005920ED" w:rsidRPr="00895589" w:rsidRDefault="00D95CBE" w:rsidP="005920ED">
            <w:pPr>
              <w:ind w:firstLine="0"/>
              <w:rPr>
                <w:sz w:val="20"/>
                <w:szCs w:val="20"/>
                <w:lang w:val="en-US"/>
              </w:rPr>
            </w:pPr>
            <w:r w:rsidRPr="00895589">
              <w:rPr>
                <w:sz w:val="20"/>
                <w:szCs w:val="20"/>
                <w:lang w:val="en-US"/>
              </w:rPr>
              <w:t>p-value</w:t>
            </w:r>
          </w:p>
        </w:tc>
        <w:tc>
          <w:tcPr>
            <w:tcW w:w="4323" w:type="dxa"/>
          </w:tcPr>
          <w:p w14:paraId="0F5A7306" w14:textId="47288292" w:rsidR="005920ED" w:rsidRPr="00895589" w:rsidRDefault="00D95CBE" w:rsidP="00D95CBE">
            <w:pPr>
              <w:ind w:firstLine="0"/>
              <w:jc w:val="center"/>
              <w:rPr>
                <w:sz w:val="20"/>
                <w:szCs w:val="20"/>
                <w:lang w:val="en-US"/>
              </w:rPr>
            </w:pPr>
            <w:r w:rsidRPr="00895589">
              <w:rPr>
                <w:sz w:val="20"/>
                <w:szCs w:val="20"/>
                <w:lang w:val="en-US"/>
              </w:rPr>
              <w:t>0.01</w:t>
            </w:r>
          </w:p>
        </w:tc>
      </w:tr>
    </w:tbl>
    <w:p w14:paraId="37EE338C" w14:textId="77777777" w:rsidR="005920ED" w:rsidRPr="00895589" w:rsidRDefault="005920ED" w:rsidP="005920ED">
      <w:pPr>
        <w:ind w:firstLine="0"/>
        <w:rPr>
          <w:lang w:val="en-US"/>
        </w:rPr>
      </w:pPr>
    </w:p>
    <w:p w14:paraId="55DC5629" w14:textId="0C44F0A3" w:rsidR="00383648" w:rsidRPr="00895589" w:rsidRDefault="006D3D7A" w:rsidP="006D3D7A">
      <w:pPr>
        <w:rPr>
          <w:lang w:val="en-US"/>
        </w:rPr>
      </w:pPr>
      <w:r w:rsidRPr="00895589">
        <w:rPr>
          <w:lang w:val="en-US"/>
        </w:rPr>
        <w:t>Based on Table</w:t>
      </w:r>
      <w:r w:rsidR="00544261" w:rsidRPr="00895589">
        <w:rPr>
          <w:lang w:val="en-US"/>
        </w:rPr>
        <w:t xml:space="preserve"> 3,</w:t>
      </w:r>
      <w:r w:rsidRPr="00895589">
        <w:rPr>
          <w:lang w:val="en-US"/>
        </w:rPr>
        <w:t xml:space="preserve"> the Spearman correlation coefficient of 0.27 with a p-value of 0.01 (p &lt; 0.05) indicates a statistically significant relationship between short axial length and post-cataract surgery visual outcomes. The positive correlation indicates that increasing axial length in the group of eyes with short axial lengths tends to be followed by increasing post-operative </w:t>
      </w:r>
      <w:proofErr w:type="spellStart"/>
      <w:r w:rsidRPr="00895589">
        <w:rPr>
          <w:lang w:val="en-US"/>
        </w:rPr>
        <w:t>logMAR</w:t>
      </w:r>
      <w:proofErr w:type="spellEnd"/>
      <w:r w:rsidRPr="00895589">
        <w:rPr>
          <w:lang w:val="en-US"/>
        </w:rPr>
        <w:t xml:space="preserve"> values. Given that higher </w:t>
      </w:r>
      <w:proofErr w:type="spellStart"/>
      <w:r w:rsidRPr="00895589">
        <w:rPr>
          <w:lang w:val="en-US"/>
        </w:rPr>
        <w:t>logMAR</w:t>
      </w:r>
      <w:proofErr w:type="spellEnd"/>
      <w:r w:rsidRPr="00895589">
        <w:rPr>
          <w:lang w:val="en-US"/>
        </w:rPr>
        <w:t xml:space="preserve"> values </w:t>
      </w:r>
      <w:r w:rsidRPr="00895589">
        <w:rPr>
          <w:rFonts w:ascii="Times New Roman" w:hAnsi="Times New Roman" w:cs="Times New Roman"/>
          <w:lang w:val="en-US"/>
        </w:rPr>
        <w:t>​​</w:t>
      </w:r>
      <w:r w:rsidRPr="00895589">
        <w:rPr>
          <w:lang w:val="en-US"/>
        </w:rPr>
        <w:t>reflect lower visual acuity, this finding suggests a tendency for patients with relatively larger axial lengths in this group to experience less optimal visual outcomes after surgery. However, the weak strength of the relationship suggests that axial length is not the sole factor influencing post-operative visual outcomes.</w:t>
      </w:r>
    </w:p>
    <w:p w14:paraId="72592145" w14:textId="77777777" w:rsidR="00383648" w:rsidRPr="00895589" w:rsidRDefault="00383648" w:rsidP="00DB369E">
      <w:pPr>
        <w:pStyle w:val="Heading1"/>
      </w:pPr>
      <w:r w:rsidRPr="00895589">
        <w:t>5. Discussion</w:t>
      </w:r>
    </w:p>
    <w:p w14:paraId="370DD358" w14:textId="657FD652" w:rsidR="00B0655C" w:rsidRPr="00895589" w:rsidRDefault="00B0655C" w:rsidP="00B0655C">
      <w:r w:rsidRPr="00895589">
        <w:t xml:space="preserve">The findings of this study showed that most participants were female and belonged to the elderly age group. </w:t>
      </w:r>
      <w:r w:rsidR="00544261" w:rsidRPr="00895589">
        <w:t xml:space="preserve">This predominance is consistent with previous evidence, as Bayoumi (2025) reported that women are more likely to have ocular anatomical characteristics associated with shorter axial length and shallower anterior chamber depth, increasing their susceptibility to age-related ocular disorders. </w:t>
      </w:r>
      <w:r w:rsidRPr="00895589">
        <w:t>Moreover, women’s longer life expectancy and greater utilization of healthcare services may contribute to their higher representation among older cataract patients. Therefore, sex distribution should be considered an important factor influencing ocular biometric characteristics and postoperative visual outcomes (Sebastian et al., 2025).</w:t>
      </w:r>
    </w:p>
    <w:p w14:paraId="772AB366" w14:textId="6327AD52" w:rsidR="00225EBF" w:rsidRPr="00895589" w:rsidRDefault="00225EBF" w:rsidP="00225EBF">
      <w:pPr>
        <w:rPr>
          <w:lang w:val="en-US"/>
        </w:rPr>
      </w:pPr>
      <w:r w:rsidRPr="00895589">
        <w:rPr>
          <w:lang w:val="en-US"/>
        </w:rPr>
        <w:t xml:space="preserve">The age distribution was predominantly concentrated in the 60–69-year age group, which is consistent with the epidemiological characteristics of senile cataracts as a degenerative condition whose prevalence increases with advancing age. Aging is associated with the accumulation of oxidative stress, reduced antioxidant enzyme activity, and structural alterations in lens crystallin proteins, ultimately leading to progressive lens opacification (Dhiba, 2023). These findings are in accordance with those reported by Hanis and Mayani (2023), who identified older adults as the largest population undergoing cataract surgery. Although advanced age is frequently associated with poorer postoperative visual outcomes due to the increased prevalence </w:t>
      </w:r>
      <w:r w:rsidRPr="00895589">
        <w:rPr>
          <w:lang w:val="en-US"/>
        </w:rPr>
        <w:lastRenderedPageBreak/>
        <w:t>of retinal comorbidities, optic neuropathy, and impaired ocular microcirculation, meaningful visual improvement can still be achieved when severe concomitant ocular conditions are excluded or adequately managed. Consequently, while age remains a major risk factor in cataract epidemiology, it does not necessarily represent the primary determinant of postoperative visual recovery.</w:t>
      </w:r>
    </w:p>
    <w:p w14:paraId="3C315534" w14:textId="66A974A8" w:rsidR="00225EBF" w:rsidRPr="00895589" w:rsidRDefault="00225EBF" w:rsidP="00225EBF">
      <w:pPr>
        <w:rPr>
          <w:lang w:val="en-US"/>
        </w:rPr>
      </w:pPr>
      <w:r w:rsidRPr="00895589">
        <w:rPr>
          <w:lang w:val="en-US"/>
        </w:rPr>
        <w:t xml:space="preserve">The biometric characteristics of the study population revealed a median axial length of 21.57 mm, with a relatively narrow range. This value falls below the normal adult axial length range of approximately 22–24 mm, confirming that all participants were categorized as having short axial eyes. The relatively homogeneous distribution of axial length in this study provides a methodological advantage by reducing anatomical variability that could potentially affect the interpretation of the relationship between biometric parameters and postoperative visual outcomes. Clinically, axial length is one of the most important variables in </w:t>
      </w:r>
      <w:r w:rsidR="003D2FBF" w:rsidRPr="00895589">
        <w:rPr>
          <w:lang w:val="en-US"/>
        </w:rPr>
        <w:t xml:space="preserve">Intraocular Lens </w:t>
      </w:r>
      <w:r w:rsidRPr="00895589">
        <w:rPr>
          <w:lang w:val="en-US"/>
        </w:rPr>
        <w:t xml:space="preserve">(IOL) power calculation. </w:t>
      </w:r>
      <w:r w:rsidR="00544261" w:rsidRPr="00895589">
        <w:t>According to Ola et al. (2024), even minor measurement errors may result in inaccurate postoperative refractive predictions, particularly in eyes with short axial lengths</w:t>
      </w:r>
      <w:r w:rsidR="004F0218">
        <w:t>,</w:t>
      </w:r>
      <w:r w:rsidR="00544261" w:rsidRPr="00895589">
        <w:t xml:space="preserve"> where estimating the Effective Lens Position (ELP) remains challenging. </w:t>
      </w:r>
      <w:r w:rsidRPr="00895589">
        <w:rPr>
          <w:lang w:val="en-US"/>
        </w:rPr>
        <w:t>Therefore, this biometric characteristic has important implications for evaluating cataract surgery outcomes.</w:t>
      </w:r>
    </w:p>
    <w:p w14:paraId="4B9E7D30" w14:textId="52EAF5C2" w:rsidR="00225EBF" w:rsidRPr="00895589" w:rsidRDefault="00225EBF" w:rsidP="00225EBF">
      <w:pPr>
        <w:rPr>
          <w:lang w:val="en-US"/>
        </w:rPr>
      </w:pPr>
      <w:r w:rsidRPr="00895589">
        <w:rPr>
          <w:lang w:val="en-US"/>
        </w:rPr>
        <w:t xml:space="preserve">Visual function assessment indicated substantial visual impairment before surgery. Following cataract extraction, an improvement in </w:t>
      </w:r>
      <w:proofErr w:type="spellStart"/>
      <w:r w:rsidRPr="00895589">
        <w:rPr>
          <w:lang w:val="en-US"/>
        </w:rPr>
        <w:t>logMAR</w:t>
      </w:r>
      <w:proofErr w:type="spellEnd"/>
      <w:r w:rsidRPr="00895589">
        <w:rPr>
          <w:lang w:val="en-US"/>
        </w:rPr>
        <w:t xml:space="preserve"> values was observed, reflecting an overall enhancement in visual function. The use of </w:t>
      </w:r>
      <w:proofErr w:type="spellStart"/>
      <w:r w:rsidRPr="00895589">
        <w:rPr>
          <w:lang w:val="en-US"/>
        </w:rPr>
        <w:t>logMAR</w:t>
      </w:r>
      <w:proofErr w:type="spellEnd"/>
      <w:r w:rsidRPr="00895589">
        <w:rPr>
          <w:lang w:val="en-US"/>
        </w:rPr>
        <w:t xml:space="preserve"> as an outcome measure provides greater statistical precision and reliability than the conventional Snellen scale, making it the preferred standard in ophthalmic research (Lai et al., 2024). The observed visual improvement supports the effectiveness of phacoemulsification in restoring visual function among cataract patients. These findings are consistent with those reported by </w:t>
      </w:r>
      <w:proofErr w:type="spellStart"/>
      <w:r w:rsidRPr="00895589">
        <w:rPr>
          <w:lang w:val="en-US"/>
        </w:rPr>
        <w:t>Khoramnia</w:t>
      </w:r>
      <w:proofErr w:type="spellEnd"/>
      <w:r w:rsidRPr="00895589">
        <w:rPr>
          <w:lang w:val="en-US"/>
        </w:rPr>
        <w:t xml:space="preserve"> et al. (2022), who demonstrated that modern cataract surgery generally results in clinically significant improvements in visual acuity. Nevertheless, variability in postoperative visual outcomes remained evident. Some patients failed to achieve optimal visual acuity, which may be attributable to factors such as inaccuracies in IOL power calculation, refractive media abnormalities, retinal comorbidities, and systemic conditions</w:t>
      </w:r>
      <w:r w:rsidR="004F0218">
        <w:rPr>
          <w:lang w:val="en-US"/>
        </w:rPr>
        <w:t>,</w:t>
      </w:r>
      <w:r w:rsidRPr="00895589">
        <w:rPr>
          <w:lang w:val="en-US"/>
        </w:rPr>
        <w:t xml:space="preserve"> including diabetes mellitus</w:t>
      </w:r>
      <w:r w:rsidR="004F0218">
        <w:rPr>
          <w:lang w:val="en-US"/>
        </w:rPr>
        <w:t>,</w:t>
      </w:r>
      <w:r w:rsidRPr="00895589">
        <w:rPr>
          <w:lang w:val="en-US"/>
        </w:rPr>
        <w:t xml:space="preserve"> that may delay visual rehabilitation (</w:t>
      </w:r>
      <w:r w:rsidR="007E1E7A" w:rsidRPr="00895589">
        <w:rPr>
          <w:lang w:val="en-US"/>
        </w:rPr>
        <w:t xml:space="preserve">Sangeetha </w:t>
      </w:r>
      <w:r w:rsidR="00E50645" w:rsidRPr="00895589">
        <w:rPr>
          <w:lang w:val="en-US"/>
        </w:rPr>
        <w:t>&amp; Inchara</w:t>
      </w:r>
      <w:r w:rsidRPr="00895589">
        <w:rPr>
          <w:lang w:val="en-US"/>
        </w:rPr>
        <w:t>, 2025).</w:t>
      </w:r>
    </w:p>
    <w:p w14:paraId="4FEA02D4" w14:textId="7673FDEE" w:rsidR="00B0655C" w:rsidRPr="00895589" w:rsidRDefault="00B0655C" w:rsidP="00225EBF">
      <w:r w:rsidRPr="00895589">
        <w:t xml:space="preserve">The correlation analysis revealed a statistically significant, albeit weak, association between short axial length and postoperative visual outcomes. Ola et al. (2024) explained that eyes with short axial lengths are more prone to postoperative refractive errors due to challenges in estimating effective lens position and selecting appropriate IOL power. Similarly, </w:t>
      </w:r>
      <w:proofErr w:type="spellStart"/>
      <w:r w:rsidRPr="00895589">
        <w:t>Khoramnia</w:t>
      </w:r>
      <w:proofErr w:type="spellEnd"/>
      <w:r w:rsidRPr="00895589">
        <w:t xml:space="preserve"> et al. (2022) and Pollmann et al. (2024) reported lower refractive prediction accuracy in eyes with short axial lengths compared to eyes with normal biometric characteristics. However, Chen et al. (2025) emphasized that postoperative visual outcomes are multifactorial and may be influenced more strongly by ocular and systemic comorbidities than by a single biometric parameter, while Dhiba (2023) highlighted the importance of </w:t>
      </w:r>
      <w:proofErr w:type="spellStart"/>
      <w:r w:rsidRPr="00895589">
        <w:t>glycemic</w:t>
      </w:r>
      <w:proofErr w:type="spellEnd"/>
      <w:r w:rsidRPr="00895589">
        <w:t xml:space="preserve"> control in postoperative visual recovery. These findings support the conclusion of Bizuneh and Mengistu (2024) that postoperative visual outcomes result from the interaction of multiple preoperative, intraoperative, and postoperative factors.</w:t>
      </w:r>
    </w:p>
    <w:p w14:paraId="19C03BB0" w14:textId="77777777" w:rsidR="00383648" w:rsidRPr="00895589" w:rsidRDefault="00383648" w:rsidP="00DB369E">
      <w:pPr>
        <w:pStyle w:val="Heading1"/>
      </w:pPr>
      <w:r w:rsidRPr="00895589">
        <w:t>6. Conclusion</w:t>
      </w:r>
    </w:p>
    <w:p w14:paraId="017F5332" w14:textId="77777777" w:rsidR="00D96CE3" w:rsidRPr="00895589" w:rsidRDefault="00D96CE3" w:rsidP="00D96CE3">
      <w:r w:rsidRPr="00895589">
        <w:t xml:space="preserve">This study examined the correlation between short axial axis and postoperative visual outcomes in cataract patients at RSU Muhammadiyah Siti Aminah </w:t>
      </w:r>
      <w:proofErr w:type="spellStart"/>
      <w:r w:rsidRPr="00895589">
        <w:t>Bumiayu</w:t>
      </w:r>
      <w:proofErr w:type="spellEnd"/>
      <w:r w:rsidRPr="00895589">
        <w:t xml:space="preserve">. The findings indicate a significant relationship between short axial axis and postoperative visual outcomes, suggesting that axial length may be an important contributing factor in visual recovery after cataract surgery, although it is not the sole determinant. The study also found that the distribution of axial length among </w:t>
      </w:r>
      <w:r w:rsidRPr="00895589">
        <w:lastRenderedPageBreak/>
        <w:t>subjects was relatively homogeneous within the short axial axis range, and postoperative visual outcomes generally showed improvement in visual acuity, although the degree of improvement varied between individuals.</w:t>
      </w:r>
    </w:p>
    <w:p w14:paraId="0CA76322" w14:textId="7073FB1A" w:rsidR="00D96CE3" w:rsidRPr="00895589" w:rsidRDefault="00634A81" w:rsidP="00D96CE3">
      <w:r w:rsidRPr="00895589">
        <w:t>T</w:t>
      </w:r>
      <w:r w:rsidR="00D96CE3" w:rsidRPr="00895589">
        <w:t xml:space="preserve">hese findings imply that preoperative axial length assessment should be carefully considered in cataract surgery planning, as it may influence postoperative visual outcomes. However, optimal visual results are likely influenced by multiple interacting factors beyond axial length alone. The main limitation of this study is its retrospective design, which restricts control over confounding variables and limits causal inference. In addition, the study focused solely on axial length without evaluating other important biometric or surgical factors, such as anterior chamber depth, lens thickness, intraocular lens formula selection, and intraoperative conditions that may also affect visual outcomes. Furthermore, the study was conducted in a single healthcare </w:t>
      </w:r>
      <w:proofErr w:type="spellStart"/>
      <w:r w:rsidR="00D96CE3" w:rsidRPr="00895589">
        <w:t>center</w:t>
      </w:r>
      <w:proofErr w:type="spellEnd"/>
      <w:r w:rsidR="00D96CE3" w:rsidRPr="00895589">
        <w:t>, which may limit the generalizability of the findings to broader populations.</w:t>
      </w:r>
    </w:p>
    <w:p w14:paraId="58DCA1F1" w14:textId="3640A024" w:rsidR="00D96CE3" w:rsidRPr="00895589" w:rsidRDefault="00D96CE3" w:rsidP="00D96CE3">
      <w:r w:rsidRPr="00895589">
        <w:t xml:space="preserve">Future research is recommended to use prospective designs to improve variable control and strengthen causal interpretation. Studies incorporating additional biometric parameters and surgical factors are also needed to provide a more comprehensive understanding of determinants of postoperative visual outcomes. Expanding the research to multiple </w:t>
      </w:r>
      <w:proofErr w:type="spellStart"/>
      <w:r w:rsidRPr="00895589">
        <w:t>centers</w:t>
      </w:r>
      <w:proofErr w:type="spellEnd"/>
      <w:r w:rsidRPr="00895589">
        <w:t xml:space="preserve"> with larger sample sizes is encouraged to enhance external validity and generalizability of the results</w:t>
      </w:r>
      <w:r w:rsidR="00634A81" w:rsidRPr="00895589">
        <w:t>.</w:t>
      </w:r>
    </w:p>
    <w:p w14:paraId="653724C0" w14:textId="77777777" w:rsidR="00383648" w:rsidRPr="00895589" w:rsidRDefault="00383648" w:rsidP="00DB369E">
      <w:pPr>
        <w:pStyle w:val="Heading1"/>
      </w:pPr>
      <w:r w:rsidRPr="00895589">
        <w:t>References</w:t>
      </w:r>
    </w:p>
    <w:p w14:paraId="707D5A31" w14:textId="77777777" w:rsidR="00383648" w:rsidRPr="00895589" w:rsidRDefault="00383648" w:rsidP="00DB369E"/>
    <w:p w14:paraId="383F77A2" w14:textId="77777777" w:rsidR="00895589" w:rsidRPr="00895589" w:rsidRDefault="00895589" w:rsidP="00984E2F">
      <w:pPr>
        <w:ind w:left="284" w:hanging="284"/>
        <w:rPr>
          <w:sz w:val="20"/>
          <w:szCs w:val="20"/>
          <w:lang w:val="en-US"/>
        </w:rPr>
      </w:pPr>
      <w:r w:rsidRPr="00895589">
        <w:rPr>
          <w:sz w:val="20"/>
          <w:szCs w:val="20"/>
          <w:lang w:val="en-US"/>
        </w:rPr>
        <w:t xml:space="preserve">Aliviana, B. (2020). </w:t>
      </w:r>
      <w:proofErr w:type="spellStart"/>
      <w:r w:rsidRPr="00895589">
        <w:rPr>
          <w:sz w:val="20"/>
          <w:szCs w:val="20"/>
          <w:lang w:val="en-US"/>
        </w:rPr>
        <w:t>Hubungan</w:t>
      </w:r>
      <w:proofErr w:type="spellEnd"/>
      <w:r w:rsidRPr="00895589">
        <w:rPr>
          <w:sz w:val="20"/>
          <w:szCs w:val="20"/>
          <w:lang w:val="en-US"/>
        </w:rPr>
        <w:t xml:space="preserve"> </w:t>
      </w:r>
      <w:proofErr w:type="spellStart"/>
      <w:r w:rsidRPr="00895589">
        <w:rPr>
          <w:sz w:val="20"/>
          <w:szCs w:val="20"/>
          <w:lang w:val="en-US"/>
        </w:rPr>
        <w:t>antara</w:t>
      </w:r>
      <w:proofErr w:type="spellEnd"/>
      <w:r w:rsidRPr="00895589">
        <w:rPr>
          <w:sz w:val="20"/>
          <w:szCs w:val="20"/>
          <w:lang w:val="en-US"/>
        </w:rPr>
        <w:t xml:space="preserve"> </w:t>
      </w:r>
      <w:proofErr w:type="spellStart"/>
      <w:r w:rsidRPr="00895589">
        <w:rPr>
          <w:sz w:val="20"/>
          <w:szCs w:val="20"/>
          <w:lang w:val="en-US"/>
        </w:rPr>
        <w:t>panjang</w:t>
      </w:r>
      <w:proofErr w:type="spellEnd"/>
      <w:r w:rsidRPr="00895589">
        <w:rPr>
          <w:sz w:val="20"/>
          <w:szCs w:val="20"/>
          <w:lang w:val="en-US"/>
        </w:rPr>
        <w:t xml:space="preserve"> </w:t>
      </w:r>
      <w:proofErr w:type="spellStart"/>
      <w:r w:rsidRPr="00895589">
        <w:rPr>
          <w:sz w:val="20"/>
          <w:szCs w:val="20"/>
          <w:lang w:val="en-US"/>
        </w:rPr>
        <w:t>aksial</w:t>
      </w:r>
      <w:proofErr w:type="spellEnd"/>
      <w:r w:rsidRPr="00895589">
        <w:rPr>
          <w:sz w:val="20"/>
          <w:szCs w:val="20"/>
          <w:lang w:val="en-US"/>
        </w:rPr>
        <w:t xml:space="preserve"> bola </w:t>
      </w:r>
      <w:proofErr w:type="spellStart"/>
      <w:r w:rsidRPr="00895589">
        <w:rPr>
          <w:sz w:val="20"/>
          <w:szCs w:val="20"/>
          <w:lang w:val="en-US"/>
        </w:rPr>
        <w:t>mata</w:t>
      </w:r>
      <w:proofErr w:type="spellEnd"/>
      <w:r w:rsidRPr="00895589">
        <w:rPr>
          <w:sz w:val="20"/>
          <w:szCs w:val="20"/>
          <w:lang w:val="en-US"/>
        </w:rPr>
        <w:t xml:space="preserve"> dan </w:t>
      </w:r>
      <w:proofErr w:type="spellStart"/>
      <w:r w:rsidRPr="00895589">
        <w:rPr>
          <w:sz w:val="20"/>
          <w:szCs w:val="20"/>
          <w:lang w:val="en-US"/>
        </w:rPr>
        <w:t>derajat</w:t>
      </w:r>
      <w:proofErr w:type="spellEnd"/>
      <w:r w:rsidRPr="00895589">
        <w:rPr>
          <w:sz w:val="20"/>
          <w:szCs w:val="20"/>
          <w:lang w:val="en-US"/>
        </w:rPr>
        <w:t xml:space="preserve"> </w:t>
      </w:r>
      <w:proofErr w:type="spellStart"/>
      <w:r w:rsidRPr="00895589">
        <w:rPr>
          <w:sz w:val="20"/>
          <w:szCs w:val="20"/>
          <w:lang w:val="en-US"/>
        </w:rPr>
        <w:t>miopia</w:t>
      </w:r>
      <w:proofErr w:type="spellEnd"/>
      <w:r w:rsidRPr="00895589">
        <w:rPr>
          <w:sz w:val="20"/>
          <w:szCs w:val="20"/>
          <w:lang w:val="en-US"/>
        </w:rPr>
        <w:t xml:space="preserve"> </w:t>
      </w:r>
      <w:proofErr w:type="spellStart"/>
      <w:r w:rsidRPr="00895589">
        <w:rPr>
          <w:sz w:val="20"/>
          <w:szCs w:val="20"/>
          <w:lang w:val="en-US"/>
        </w:rPr>
        <w:t>dengan</w:t>
      </w:r>
      <w:proofErr w:type="spellEnd"/>
      <w:r w:rsidRPr="00895589">
        <w:rPr>
          <w:sz w:val="20"/>
          <w:szCs w:val="20"/>
          <w:lang w:val="en-US"/>
        </w:rPr>
        <w:t xml:space="preserve"> </w:t>
      </w:r>
      <w:proofErr w:type="spellStart"/>
      <w:r w:rsidRPr="00895589">
        <w:rPr>
          <w:sz w:val="20"/>
          <w:szCs w:val="20"/>
          <w:lang w:val="en-US"/>
        </w:rPr>
        <w:t>tekanan</w:t>
      </w:r>
      <w:proofErr w:type="spellEnd"/>
      <w:r w:rsidRPr="00895589">
        <w:rPr>
          <w:sz w:val="20"/>
          <w:szCs w:val="20"/>
          <w:lang w:val="en-US"/>
        </w:rPr>
        <w:t xml:space="preserve"> </w:t>
      </w:r>
      <w:proofErr w:type="spellStart"/>
      <w:r w:rsidRPr="00895589">
        <w:rPr>
          <w:sz w:val="20"/>
          <w:szCs w:val="20"/>
          <w:lang w:val="en-US"/>
        </w:rPr>
        <w:t>intraokular</w:t>
      </w:r>
      <w:proofErr w:type="spellEnd"/>
      <w:r w:rsidRPr="00895589">
        <w:rPr>
          <w:sz w:val="20"/>
          <w:szCs w:val="20"/>
          <w:lang w:val="en-US"/>
        </w:rPr>
        <w:t xml:space="preserve">. </w:t>
      </w:r>
      <w:r w:rsidRPr="00895589">
        <w:rPr>
          <w:i/>
          <w:iCs/>
          <w:sz w:val="20"/>
          <w:szCs w:val="20"/>
          <w:lang w:val="en-US"/>
        </w:rPr>
        <w:t>Medical and Health Science Journal, 4</w:t>
      </w:r>
      <w:r w:rsidRPr="00895589">
        <w:rPr>
          <w:sz w:val="20"/>
          <w:szCs w:val="20"/>
          <w:lang w:val="en-US"/>
        </w:rPr>
        <w:t xml:space="preserve">(1), 13–18. </w:t>
      </w:r>
      <w:hyperlink r:id="rId15" w:history="1">
        <w:r w:rsidRPr="00895589">
          <w:rPr>
            <w:rStyle w:val="Hyperlink"/>
            <w:sz w:val="20"/>
            <w:szCs w:val="20"/>
          </w:rPr>
          <w:t>https://doi.org/10.33086/mhsj.v4i1.1444</w:t>
        </w:r>
      </w:hyperlink>
      <w:r w:rsidRPr="00895589">
        <w:rPr>
          <w:sz w:val="20"/>
          <w:szCs w:val="20"/>
          <w:lang w:val="en-US"/>
        </w:rPr>
        <w:t>.</w:t>
      </w:r>
    </w:p>
    <w:p w14:paraId="75DD4E20" w14:textId="77777777" w:rsidR="00895589" w:rsidRPr="00895589" w:rsidRDefault="00895589" w:rsidP="00984E2F">
      <w:pPr>
        <w:ind w:left="284" w:hanging="284"/>
        <w:rPr>
          <w:sz w:val="20"/>
          <w:szCs w:val="20"/>
        </w:rPr>
      </w:pPr>
      <w:r w:rsidRPr="00895589">
        <w:rPr>
          <w:sz w:val="20"/>
          <w:szCs w:val="20"/>
        </w:rPr>
        <w:t xml:space="preserve">Bayoumi, N. H. L. (2025). Symptoms and management of </w:t>
      </w:r>
      <w:proofErr w:type="spellStart"/>
      <w:r w:rsidRPr="00895589">
        <w:rPr>
          <w:sz w:val="20"/>
          <w:szCs w:val="20"/>
        </w:rPr>
        <w:t>pediatric</w:t>
      </w:r>
      <w:proofErr w:type="spellEnd"/>
      <w:r w:rsidRPr="00895589">
        <w:rPr>
          <w:sz w:val="20"/>
          <w:szCs w:val="20"/>
        </w:rPr>
        <w:t xml:space="preserve"> lens subluxation. </w:t>
      </w:r>
      <w:r w:rsidRPr="00895589">
        <w:rPr>
          <w:i/>
          <w:iCs/>
          <w:sz w:val="20"/>
          <w:szCs w:val="20"/>
        </w:rPr>
        <w:t>Expert Review of Ophthalmology</w:t>
      </w:r>
      <w:r w:rsidRPr="00895589">
        <w:rPr>
          <w:sz w:val="20"/>
          <w:szCs w:val="20"/>
        </w:rPr>
        <w:t>, </w:t>
      </w:r>
      <w:r w:rsidRPr="00895589">
        <w:rPr>
          <w:i/>
          <w:iCs/>
          <w:sz w:val="20"/>
          <w:szCs w:val="20"/>
        </w:rPr>
        <w:t>20</w:t>
      </w:r>
      <w:r w:rsidRPr="00895589">
        <w:rPr>
          <w:sz w:val="20"/>
          <w:szCs w:val="20"/>
        </w:rPr>
        <w:t xml:space="preserve">(5), 279-295. </w:t>
      </w:r>
      <w:hyperlink r:id="rId16" w:history="1">
        <w:r w:rsidRPr="00895589">
          <w:rPr>
            <w:rStyle w:val="Hyperlink"/>
            <w:sz w:val="20"/>
            <w:szCs w:val="20"/>
          </w:rPr>
          <w:t>https://doi.org/10.1080/17469899.2025.2550689</w:t>
        </w:r>
      </w:hyperlink>
      <w:r w:rsidRPr="00895589">
        <w:rPr>
          <w:sz w:val="20"/>
          <w:szCs w:val="20"/>
        </w:rPr>
        <w:t>.</w:t>
      </w:r>
    </w:p>
    <w:p w14:paraId="460B1E61" w14:textId="77777777" w:rsidR="00895589" w:rsidRPr="00895589" w:rsidRDefault="00895589" w:rsidP="00984E2F">
      <w:pPr>
        <w:ind w:left="284" w:hanging="284"/>
        <w:rPr>
          <w:sz w:val="20"/>
          <w:szCs w:val="20"/>
        </w:rPr>
      </w:pPr>
      <w:r w:rsidRPr="00895589">
        <w:rPr>
          <w:sz w:val="20"/>
          <w:szCs w:val="20"/>
        </w:rPr>
        <w:t>Bizuneh, Z. Y., &amp; Mengistu, M. A. (2024). Visual outcomes of cataract surgery and associated factors on outreach sites in Ethiopia: A multi-</w:t>
      </w:r>
      <w:proofErr w:type="spellStart"/>
      <w:r w:rsidRPr="00895589">
        <w:rPr>
          <w:sz w:val="20"/>
          <w:szCs w:val="20"/>
        </w:rPr>
        <w:t>center</w:t>
      </w:r>
      <w:proofErr w:type="spellEnd"/>
      <w:r w:rsidRPr="00895589">
        <w:rPr>
          <w:sz w:val="20"/>
          <w:szCs w:val="20"/>
        </w:rPr>
        <w:t xml:space="preserve"> study, 2022. </w:t>
      </w:r>
      <w:r w:rsidRPr="00895589">
        <w:rPr>
          <w:i/>
          <w:iCs/>
          <w:sz w:val="20"/>
          <w:szCs w:val="20"/>
        </w:rPr>
        <w:t>Tropical Ophthalmology</w:t>
      </w:r>
      <w:r w:rsidRPr="00895589">
        <w:rPr>
          <w:sz w:val="20"/>
          <w:szCs w:val="20"/>
        </w:rPr>
        <w:t>, </w:t>
      </w:r>
      <w:r w:rsidRPr="00895589">
        <w:rPr>
          <w:i/>
          <w:iCs/>
          <w:sz w:val="20"/>
          <w:szCs w:val="20"/>
        </w:rPr>
        <w:t>1</w:t>
      </w:r>
      <w:r w:rsidRPr="00895589">
        <w:rPr>
          <w:sz w:val="20"/>
          <w:szCs w:val="20"/>
        </w:rPr>
        <w:t xml:space="preserve">(2), 51-57. </w:t>
      </w:r>
      <w:hyperlink r:id="rId17" w:history="1">
        <w:r w:rsidRPr="00895589">
          <w:rPr>
            <w:rStyle w:val="Hyperlink"/>
            <w:sz w:val="20"/>
            <w:szCs w:val="20"/>
          </w:rPr>
          <w:t>https://doi.org/10.4103/pto.pto_2_24</w:t>
        </w:r>
      </w:hyperlink>
      <w:r w:rsidRPr="00895589">
        <w:rPr>
          <w:sz w:val="20"/>
          <w:szCs w:val="20"/>
        </w:rPr>
        <w:t>.</w:t>
      </w:r>
    </w:p>
    <w:p w14:paraId="339959B6" w14:textId="77777777" w:rsidR="00895589" w:rsidRPr="00895589" w:rsidRDefault="00895589" w:rsidP="00984E2F">
      <w:pPr>
        <w:ind w:left="284" w:hanging="284"/>
        <w:rPr>
          <w:sz w:val="20"/>
          <w:szCs w:val="20"/>
        </w:rPr>
      </w:pPr>
      <w:r w:rsidRPr="00895589">
        <w:rPr>
          <w:sz w:val="20"/>
          <w:szCs w:val="20"/>
        </w:rPr>
        <w:t xml:space="preserve">Chen, S. P., </w:t>
      </w:r>
      <w:proofErr w:type="spellStart"/>
      <w:r w:rsidRPr="00895589">
        <w:rPr>
          <w:sz w:val="20"/>
          <w:szCs w:val="20"/>
        </w:rPr>
        <w:t>Woreta</w:t>
      </w:r>
      <w:proofErr w:type="spellEnd"/>
      <w:r w:rsidRPr="00895589">
        <w:rPr>
          <w:sz w:val="20"/>
          <w:szCs w:val="20"/>
        </w:rPr>
        <w:t>, F., &amp; Chang, D. F. (2025). Cataracts: a review. </w:t>
      </w:r>
      <w:r w:rsidRPr="00895589">
        <w:rPr>
          <w:i/>
          <w:iCs/>
          <w:sz w:val="20"/>
          <w:szCs w:val="20"/>
        </w:rPr>
        <w:t>Jama</w:t>
      </w:r>
      <w:r w:rsidRPr="00895589">
        <w:rPr>
          <w:sz w:val="20"/>
          <w:szCs w:val="20"/>
        </w:rPr>
        <w:t>, </w:t>
      </w:r>
      <w:r w:rsidRPr="00895589">
        <w:rPr>
          <w:i/>
          <w:iCs/>
          <w:sz w:val="20"/>
          <w:szCs w:val="20"/>
        </w:rPr>
        <w:t>333</w:t>
      </w:r>
      <w:r w:rsidRPr="00895589">
        <w:rPr>
          <w:sz w:val="20"/>
          <w:szCs w:val="20"/>
        </w:rPr>
        <w:t xml:space="preserve">(23), 2093-2103. </w:t>
      </w:r>
      <w:hyperlink r:id="rId18" w:history="1">
        <w:r w:rsidRPr="00895589">
          <w:rPr>
            <w:rStyle w:val="Hyperlink"/>
            <w:sz w:val="20"/>
            <w:szCs w:val="20"/>
          </w:rPr>
          <w:t>https://doi.org/10.1001/jama.2025.1597</w:t>
        </w:r>
      </w:hyperlink>
      <w:r w:rsidRPr="00895589">
        <w:rPr>
          <w:sz w:val="20"/>
          <w:szCs w:val="20"/>
        </w:rPr>
        <w:t>.</w:t>
      </w:r>
    </w:p>
    <w:p w14:paraId="1D13793B" w14:textId="55A9249A" w:rsidR="00895589" w:rsidRPr="00895589" w:rsidRDefault="00895589" w:rsidP="00984E2F">
      <w:pPr>
        <w:ind w:left="284" w:hanging="284"/>
        <w:rPr>
          <w:sz w:val="20"/>
          <w:szCs w:val="20"/>
        </w:rPr>
      </w:pPr>
      <w:r w:rsidRPr="00895589">
        <w:rPr>
          <w:sz w:val="20"/>
          <w:szCs w:val="20"/>
        </w:rPr>
        <w:t xml:space="preserve">Chen, X., Xu, J., Chen, X., &amp; Yao, K. (2021). Cataract: advances in surgery and whether surgery remains the only treatment in </w:t>
      </w:r>
      <w:r w:rsidR="004F0218">
        <w:rPr>
          <w:sz w:val="20"/>
          <w:szCs w:val="20"/>
        </w:rPr>
        <w:t xml:space="preserve">the </w:t>
      </w:r>
      <w:r w:rsidRPr="00895589">
        <w:rPr>
          <w:sz w:val="20"/>
          <w:szCs w:val="20"/>
        </w:rPr>
        <w:t>future. </w:t>
      </w:r>
      <w:r w:rsidRPr="00895589">
        <w:rPr>
          <w:i/>
          <w:iCs/>
          <w:sz w:val="20"/>
          <w:szCs w:val="20"/>
        </w:rPr>
        <w:t>Advances in Ophthalmology Practice and Research</w:t>
      </w:r>
      <w:r w:rsidRPr="00895589">
        <w:rPr>
          <w:sz w:val="20"/>
          <w:szCs w:val="20"/>
        </w:rPr>
        <w:t>, </w:t>
      </w:r>
      <w:r w:rsidRPr="00895589">
        <w:rPr>
          <w:i/>
          <w:iCs/>
          <w:sz w:val="20"/>
          <w:szCs w:val="20"/>
        </w:rPr>
        <w:t>1</w:t>
      </w:r>
      <w:r w:rsidRPr="00895589">
        <w:rPr>
          <w:sz w:val="20"/>
          <w:szCs w:val="20"/>
        </w:rPr>
        <w:t xml:space="preserve">(1), 100-108. </w:t>
      </w:r>
      <w:hyperlink r:id="rId19" w:tgtFrame="_blank" w:tooltip="Persistent link using digital object identifier" w:history="1">
        <w:r w:rsidRPr="00895589">
          <w:rPr>
            <w:rStyle w:val="Hyperlink"/>
            <w:sz w:val="20"/>
            <w:szCs w:val="20"/>
          </w:rPr>
          <w:t>https://doi.org/10.1016/j.aopr.2021.100008</w:t>
        </w:r>
      </w:hyperlink>
      <w:r w:rsidRPr="00895589">
        <w:rPr>
          <w:sz w:val="20"/>
          <w:szCs w:val="20"/>
        </w:rPr>
        <w:t>.</w:t>
      </w:r>
    </w:p>
    <w:p w14:paraId="0F1E854F" w14:textId="77777777" w:rsidR="00895589" w:rsidRPr="00895589" w:rsidRDefault="00895589" w:rsidP="00984E2F">
      <w:pPr>
        <w:ind w:left="284" w:hanging="284"/>
        <w:rPr>
          <w:sz w:val="20"/>
          <w:szCs w:val="20"/>
          <w:lang w:val="en-US"/>
        </w:rPr>
      </w:pPr>
      <w:r w:rsidRPr="00895589">
        <w:rPr>
          <w:sz w:val="20"/>
          <w:szCs w:val="20"/>
        </w:rPr>
        <w:t>Cooke, D. L., &amp; Cooke, T. L. (2016). Comparison of 9 intraocular lens power calculation formulas. </w:t>
      </w:r>
      <w:r w:rsidRPr="00895589">
        <w:rPr>
          <w:i/>
          <w:iCs/>
          <w:sz w:val="20"/>
          <w:szCs w:val="20"/>
        </w:rPr>
        <w:t>Journal of Cataract &amp; Refractive Surgery</w:t>
      </w:r>
      <w:r w:rsidRPr="00895589">
        <w:rPr>
          <w:sz w:val="20"/>
          <w:szCs w:val="20"/>
        </w:rPr>
        <w:t>, </w:t>
      </w:r>
      <w:r w:rsidRPr="00895589">
        <w:rPr>
          <w:i/>
          <w:iCs/>
          <w:sz w:val="20"/>
          <w:szCs w:val="20"/>
        </w:rPr>
        <w:t>42</w:t>
      </w:r>
      <w:r w:rsidRPr="00895589">
        <w:rPr>
          <w:sz w:val="20"/>
          <w:szCs w:val="20"/>
        </w:rPr>
        <w:t xml:space="preserve">(8), 1157-1164. </w:t>
      </w:r>
      <w:hyperlink r:id="rId20" w:tgtFrame="_blank" w:tooltip="Persistent link using digital object identifier" w:history="1">
        <w:r w:rsidRPr="00895589">
          <w:rPr>
            <w:rStyle w:val="Hyperlink"/>
            <w:sz w:val="20"/>
            <w:szCs w:val="20"/>
          </w:rPr>
          <w:t>https://doi.org/10.1016/j.jcrs.2016.06.029</w:t>
        </w:r>
      </w:hyperlink>
      <w:r w:rsidRPr="00895589">
        <w:rPr>
          <w:sz w:val="20"/>
          <w:szCs w:val="20"/>
        </w:rPr>
        <w:t>.</w:t>
      </w:r>
    </w:p>
    <w:p w14:paraId="20ECD602" w14:textId="77777777" w:rsidR="00895589" w:rsidRPr="00895589" w:rsidRDefault="00895589" w:rsidP="00984E2F">
      <w:pPr>
        <w:ind w:left="284" w:hanging="284"/>
        <w:rPr>
          <w:sz w:val="20"/>
          <w:szCs w:val="20"/>
        </w:rPr>
      </w:pPr>
      <w:r w:rsidRPr="00895589">
        <w:rPr>
          <w:sz w:val="20"/>
          <w:szCs w:val="20"/>
        </w:rPr>
        <w:t>Dhiba, F. (2023). </w:t>
      </w:r>
      <w:proofErr w:type="spellStart"/>
      <w:r w:rsidRPr="00895589">
        <w:rPr>
          <w:i/>
          <w:iCs/>
          <w:sz w:val="20"/>
          <w:szCs w:val="20"/>
        </w:rPr>
        <w:t>Hubungan</w:t>
      </w:r>
      <w:proofErr w:type="spellEnd"/>
      <w:r w:rsidRPr="00895589">
        <w:rPr>
          <w:i/>
          <w:iCs/>
          <w:sz w:val="20"/>
          <w:szCs w:val="20"/>
        </w:rPr>
        <w:t xml:space="preserve"> </w:t>
      </w:r>
      <w:proofErr w:type="spellStart"/>
      <w:r w:rsidRPr="00895589">
        <w:rPr>
          <w:i/>
          <w:iCs/>
          <w:sz w:val="20"/>
          <w:szCs w:val="20"/>
        </w:rPr>
        <w:t>kadar</w:t>
      </w:r>
      <w:proofErr w:type="spellEnd"/>
      <w:r w:rsidRPr="00895589">
        <w:rPr>
          <w:i/>
          <w:iCs/>
          <w:sz w:val="20"/>
          <w:szCs w:val="20"/>
        </w:rPr>
        <w:t xml:space="preserve"> </w:t>
      </w:r>
      <w:proofErr w:type="spellStart"/>
      <w:r w:rsidRPr="00895589">
        <w:rPr>
          <w:i/>
          <w:iCs/>
          <w:sz w:val="20"/>
          <w:szCs w:val="20"/>
        </w:rPr>
        <w:t>glukosa</w:t>
      </w:r>
      <w:proofErr w:type="spellEnd"/>
      <w:r w:rsidRPr="00895589">
        <w:rPr>
          <w:i/>
          <w:iCs/>
          <w:sz w:val="20"/>
          <w:szCs w:val="20"/>
        </w:rPr>
        <w:t xml:space="preserve"> </w:t>
      </w:r>
      <w:proofErr w:type="spellStart"/>
      <w:r w:rsidRPr="00895589">
        <w:rPr>
          <w:i/>
          <w:iCs/>
          <w:sz w:val="20"/>
          <w:szCs w:val="20"/>
        </w:rPr>
        <w:t>darah</w:t>
      </w:r>
      <w:proofErr w:type="spellEnd"/>
      <w:r w:rsidRPr="00895589">
        <w:rPr>
          <w:i/>
          <w:iCs/>
          <w:sz w:val="20"/>
          <w:szCs w:val="20"/>
        </w:rPr>
        <w:t xml:space="preserve"> </w:t>
      </w:r>
      <w:proofErr w:type="spellStart"/>
      <w:r w:rsidRPr="00895589">
        <w:rPr>
          <w:i/>
          <w:iCs/>
          <w:sz w:val="20"/>
          <w:szCs w:val="20"/>
        </w:rPr>
        <w:t>sewaktu</w:t>
      </w:r>
      <w:proofErr w:type="spellEnd"/>
      <w:r w:rsidRPr="00895589">
        <w:rPr>
          <w:i/>
          <w:iCs/>
          <w:sz w:val="20"/>
          <w:szCs w:val="20"/>
        </w:rPr>
        <w:t xml:space="preserve"> </w:t>
      </w:r>
      <w:proofErr w:type="spellStart"/>
      <w:r w:rsidRPr="00895589">
        <w:rPr>
          <w:i/>
          <w:iCs/>
          <w:sz w:val="20"/>
          <w:szCs w:val="20"/>
        </w:rPr>
        <w:t>dengan</w:t>
      </w:r>
      <w:proofErr w:type="spellEnd"/>
      <w:r w:rsidRPr="00895589">
        <w:rPr>
          <w:i/>
          <w:iCs/>
          <w:sz w:val="20"/>
          <w:szCs w:val="20"/>
        </w:rPr>
        <w:t xml:space="preserve"> visual outcome </w:t>
      </w:r>
      <w:proofErr w:type="spellStart"/>
      <w:r w:rsidRPr="00895589">
        <w:rPr>
          <w:i/>
          <w:iCs/>
          <w:sz w:val="20"/>
          <w:szCs w:val="20"/>
        </w:rPr>
        <w:t>pasca</w:t>
      </w:r>
      <w:proofErr w:type="spellEnd"/>
      <w:r w:rsidRPr="00895589">
        <w:rPr>
          <w:i/>
          <w:iCs/>
          <w:sz w:val="20"/>
          <w:szCs w:val="20"/>
        </w:rPr>
        <w:t xml:space="preserve"> </w:t>
      </w:r>
      <w:proofErr w:type="spellStart"/>
      <w:r w:rsidRPr="00895589">
        <w:rPr>
          <w:i/>
          <w:iCs/>
          <w:sz w:val="20"/>
          <w:szCs w:val="20"/>
        </w:rPr>
        <w:t>operasi</w:t>
      </w:r>
      <w:proofErr w:type="spellEnd"/>
      <w:r w:rsidRPr="00895589">
        <w:rPr>
          <w:i/>
          <w:iCs/>
          <w:sz w:val="20"/>
          <w:szCs w:val="20"/>
        </w:rPr>
        <w:t xml:space="preserve"> </w:t>
      </w:r>
      <w:proofErr w:type="spellStart"/>
      <w:r w:rsidRPr="00895589">
        <w:rPr>
          <w:i/>
          <w:iCs/>
          <w:sz w:val="20"/>
          <w:szCs w:val="20"/>
        </w:rPr>
        <w:t>katarak</w:t>
      </w:r>
      <w:proofErr w:type="spellEnd"/>
      <w:r w:rsidRPr="00895589">
        <w:rPr>
          <w:i/>
          <w:iCs/>
          <w:sz w:val="20"/>
          <w:szCs w:val="20"/>
        </w:rPr>
        <w:t xml:space="preserve"> (</w:t>
      </w:r>
      <w:proofErr w:type="spellStart"/>
      <w:r w:rsidRPr="00895589">
        <w:rPr>
          <w:i/>
          <w:iCs/>
          <w:sz w:val="20"/>
          <w:szCs w:val="20"/>
        </w:rPr>
        <w:t>Studi</w:t>
      </w:r>
      <w:proofErr w:type="spellEnd"/>
      <w:r w:rsidRPr="00895589">
        <w:rPr>
          <w:i/>
          <w:iCs/>
          <w:sz w:val="20"/>
          <w:szCs w:val="20"/>
        </w:rPr>
        <w:t xml:space="preserve"> pada </w:t>
      </w:r>
      <w:proofErr w:type="spellStart"/>
      <w:r w:rsidRPr="00895589">
        <w:rPr>
          <w:i/>
          <w:iCs/>
          <w:sz w:val="20"/>
          <w:szCs w:val="20"/>
        </w:rPr>
        <w:t>pasien</w:t>
      </w:r>
      <w:proofErr w:type="spellEnd"/>
      <w:r w:rsidRPr="00895589">
        <w:rPr>
          <w:i/>
          <w:iCs/>
          <w:sz w:val="20"/>
          <w:szCs w:val="20"/>
        </w:rPr>
        <w:t xml:space="preserve"> </w:t>
      </w:r>
      <w:proofErr w:type="spellStart"/>
      <w:r w:rsidRPr="00895589">
        <w:rPr>
          <w:i/>
          <w:iCs/>
          <w:sz w:val="20"/>
          <w:szCs w:val="20"/>
        </w:rPr>
        <w:t>katarak</w:t>
      </w:r>
      <w:proofErr w:type="spellEnd"/>
      <w:r w:rsidRPr="00895589">
        <w:rPr>
          <w:i/>
          <w:iCs/>
          <w:sz w:val="20"/>
          <w:szCs w:val="20"/>
        </w:rPr>
        <w:t xml:space="preserve"> di Sultan Agung Eye </w:t>
      </w:r>
      <w:proofErr w:type="spellStart"/>
      <w:r w:rsidRPr="00895589">
        <w:rPr>
          <w:i/>
          <w:iCs/>
          <w:sz w:val="20"/>
          <w:szCs w:val="20"/>
        </w:rPr>
        <w:t>Center</w:t>
      </w:r>
      <w:proofErr w:type="spellEnd"/>
      <w:r w:rsidRPr="00895589">
        <w:rPr>
          <w:i/>
          <w:iCs/>
          <w:sz w:val="20"/>
          <w:szCs w:val="20"/>
        </w:rPr>
        <w:t xml:space="preserve"> Semarang)</w:t>
      </w:r>
      <w:r w:rsidRPr="00895589">
        <w:rPr>
          <w:sz w:val="20"/>
          <w:szCs w:val="20"/>
        </w:rPr>
        <w:t>. Semarang: Universitas Islam Sultan Agung Semarang (Doctoral dissertation).</w:t>
      </w:r>
    </w:p>
    <w:p w14:paraId="38DAC7F2" w14:textId="77777777" w:rsidR="00895589" w:rsidRPr="00895589" w:rsidRDefault="00895589" w:rsidP="00984E2F">
      <w:pPr>
        <w:ind w:left="284" w:hanging="284"/>
        <w:rPr>
          <w:sz w:val="20"/>
          <w:szCs w:val="20"/>
          <w:lang w:val="en-US"/>
        </w:rPr>
      </w:pPr>
      <w:proofErr w:type="spellStart"/>
      <w:r w:rsidRPr="00895589">
        <w:rPr>
          <w:sz w:val="20"/>
          <w:szCs w:val="20"/>
        </w:rPr>
        <w:t>Fathanita</w:t>
      </w:r>
      <w:proofErr w:type="spellEnd"/>
      <w:r w:rsidRPr="00895589">
        <w:rPr>
          <w:sz w:val="20"/>
          <w:szCs w:val="20"/>
        </w:rPr>
        <w:t xml:space="preserve">, A., </w:t>
      </w:r>
      <w:proofErr w:type="spellStart"/>
      <w:r w:rsidRPr="00895589">
        <w:rPr>
          <w:sz w:val="20"/>
          <w:szCs w:val="20"/>
        </w:rPr>
        <w:t>Ermawati</w:t>
      </w:r>
      <w:proofErr w:type="spellEnd"/>
      <w:r w:rsidRPr="00895589">
        <w:rPr>
          <w:sz w:val="20"/>
          <w:szCs w:val="20"/>
        </w:rPr>
        <w:t xml:space="preserve">, S., </w:t>
      </w:r>
      <w:proofErr w:type="spellStart"/>
      <w:r w:rsidRPr="00895589">
        <w:rPr>
          <w:sz w:val="20"/>
          <w:szCs w:val="20"/>
        </w:rPr>
        <w:t>Kurniati</w:t>
      </w:r>
      <w:proofErr w:type="spellEnd"/>
      <w:r w:rsidRPr="00895589">
        <w:rPr>
          <w:sz w:val="20"/>
          <w:szCs w:val="20"/>
        </w:rPr>
        <w:t xml:space="preserve">, Y. P., &amp; </w:t>
      </w:r>
      <w:proofErr w:type="spellStart"/>
      <w:r w:rsidRPr="00895589">
        <w:rPr>
          <w:sz w:val="20"/>
          <w:szCs w:val="20"/>
        </w:rPr>
        <w:t>Alfajri</w:t>
      </w:r>
      <w:proofErr w:type="spellEnd"/>
      <w:r w:rsidRPr="00895589">
        <w:rPr>
          <w:sz w:val="20"/>
          <w:szCs w:val="20"/>
        </w:rPr>
        <w:t xml:space="preserve">, A. (2024). </w:t>
      </w:r>
      <w:proofErr w:type="spellStart"/>
      <w:r w:rsidRPr="00895589">
        <w:rPr>
          <w:sz w:val="20"/>
          <w:szCs w:val="20"/>
          <w:lang w:val="en-US"/>
        </w:rPr>
        <w:t>Hubungan</w:t>
      </w:r>
      <w:proofErr w:type="spellEnd"/>
      <w:r w:rsidRPr="00895589">
        <w:rPr>
          <w:sz w:val="20"/>
          <w:szCs w:val="20"/>
          <w:lang w:val="en-US"/>
        </w:rPr>
        <w:t xml:space="preserve"> </w:t>
      </w:r>
      <w:proofErr w:type="spellStart"/>
      <w:r w:rsidRPr="00895589">
        <w:rPr>
          <w:sz w:val="20"/>
          <w:szCs w:val="20"/>
          <w:lang w:val="en-US"/>
        </w:rPr>
        <w:t>peran</w:t>
      </w:r>
      <w:proofErr w:type="spellEnd"/>
      <w:r w:rsidRPr="00895589">
        <w:rPr>
          <w:sz w:val="20"/>
          <w:szCs w:val="20"/>
          <w:lang w:val="en-US"/>
        </w:rPr>
        <w:t xml:space="preserve"> </w:t>
      </w:r>
      <w:proofErr w:type="spellStart"/>
      <w:r w:rsidRPr="00895589">
        <w:rPr>
          <w:sz w:val="20"/>
          <w:szCs w:val="20"/>
          <w:lang w:val="en-US"/>
        </w:rPr>
        <w:t>keluarga</w:t>
      </w:r>
      <w:proofErr w:type="spellEnd"/>
      <w:r w:rsidRPr="00895589">
        <w:rPr>
          <w:sz w:val="20"/>
          <w:szCs w:val="20"/>
          <w:lang w:val="en-US"/>
        </w:rPr>
        <w:t xml:space="preserve"> </w:t>
      </w:r>
      <w:proofErr w:type="spellStart"/>
      <w:r w:rsidRPr="00895589">
        <w:rPr>
          <w:sz w:val="20"/>
          <w:szCs w:val="20"/>
          <w:lang w:val="en-US"/>
        </w:rPr>
        <w:t>terhadap</w:t>
      </w:r>
      <w:proofErr w:type="spellEnd"/>
      <w:r w:rsidRPr="00895589">
        <w:rPr>
          <w:sz w:val="20"/>
          <w:szCs w:val="20"/>
          <w:lang w:val="en-US"/>
        </w:rPr>
        <w:t xml:space="preserve"> </w:t>
      </w:r>
      <w:proofErr w:type="spellStart"/>
      <w:r w:rsidRPr="00895589">
        <w:rPr>
          <w:sz w:val="20"/>
          <w:szCs w:val="20"/>
          <w:lang w:val="en-US"/>
        </w:rPr>
        <w:t>kualitas</w:t>
      </w:r>
      <w:proofErr w:type="spellEnd"/>
      <w:r w:rsidRPr="00895589">
        <w:rPr>
          <w:sz w:val="20"/>
          <w:szCs w:val="20"/>
          <w:lang w:val="en-US"/>
        </w:rPr>
        <w:t xml:space="preserve"> </w:t>
      </w:r>
      <w:proofErr w:type="spellStart"/>
      <w:r w:rsidRPr="00895589">
        <w:rPr>
          <w:sz w:val="20"/>
          <w:szCs w:val="20"/>
          <w:lang w:val="en-US"/>
        </w:rPr>
        <w:t>hidup</w:t>
      </w:r>
      <w:proofErr w:type="spellEnd"/>
      <w:r w:rsidRPr="00895589">
        <w:rPr>
          <w:sz w:val="20"/>
          <w:szCs w:val="20"/>
          <w:lang w:val="en-US"/>
        </w:rPr>
        <w:t xml:space="preserve"> </w:t>
      </w:r>
      <w:proofErr w:type="spellStart"/>
      <w:r w:rsidRPr="00895589">
        <w:rPr>
          <w:sz w:val="20"/>
          <w:szCs w:val="20"/>
          <w:lang w:val="en-US"/>
        </w:rPr>
        <w:t>pasien</w:t>
      </w:r>
      <w:proofErr w:type="spellEnd"/>
      <w:r w:rsidRPr="00895589">
        <w:rPr>
          <w:sz w:val="20"/>
          <w:szCs w:val="20"/>
          <w:lang w:val="en-US"/>
        </w:rPr>
        <w:t xml:space="preserve"> post </w:t>
      </w:r>
      <w:proofErr w:type="spellStart"/>
      <w:r w:rsidRPr="00895589">
        <w:rPr>
          <w:sz w:val="20"/>
          <w:szCs w:val="20"/>
          <w:lang w:val="en-US"/>
        </w:rPr>
        <w:t>operasi</w:t>
      </w:r>
      <w:proofErr w:type="spellEnd"/>
      <w:r w:rsidRPr="00895589">
        <w:rPr>
          <w:sz w:val="20"/>
          <w:szCs w:val="20"/>
          <w:lang w:val="en-US"/>
        </w:rPr>
        <w:t xml:space="preserve"> </w:t>
      </w:r>
      <w:proofErr w:type="spellStart"/>
      <w:r w:rsidRPr="00895589">
        <w:rPr>
          <w:sz w:val="20"/>
          <w:szCs w:val="20"/>
          <w:lang w:val="en-US"/>
        </w:rPr>
        <w:t>katarak</w:t>
      </w:r>
      <w:proofErr w:type="spellEnd"/>
      <w:r w:rsidRPr="00895589">
        <w:rPr>
          <w:sz w:val="20"/>
          <w:szCs w:val="20"/>
          <w:lang w:val="en-US"/>
        </w:rPr>
        <w:t xml:space="preserve"> di Kota </w:t>
      </w:r>
      <w:proofErr w:type="spellStart"/>
      <w:r w:rsidRPr="00895589">
        <w:rPr>
          <w:sz w:val="20"/>
          <w:szCs w:val="20"/>
          <w:lang w:val="en-US"/>
        </w:rPr>
        <w:t>Sragen</w:t>
      </w:r>
      <w:proofErr w:type="spellEnd"/>
      <w:r w:rsidRPr="00895589">
        <w:rPr>
          <w:sz w:val="20"/>
          <w:szCs w:val="20"/>
          <w:lang w:val="en-US"/>
        </w:rPr>
        <w:t xml:space="preserve">. </w:t>
      </w:r>
      <w:proofErr w:type="spellStart"/>
      <w:r w:rsidRPr="00895589">
        <w:rPr>
          <w:i/>
          <w:iCs/>
          <w:sz w:val="20"/>
          <w:szCs w:val="20"/>
          <w:lang w:val="en-US"/>
        </w:rPr>
        <w:t>Jurnal</w:t>
      </w:r>
      <w:proofErr w:type="spellEnd"/>
      <w:r w:rsidRPr="00895589">
        <w:rPr>
          <w:i/>
          <w:iCs/>
          <w:sz w:val="20"/>
          <w:szCs w:val="20"/>
          <w:lang w:val="en-US"/>
        </w:rPr>
        <w:t xml:space="preserve"> </w:t>
      </w:r>
      <w:proofErr w:type="spellStart"/>
      <w:r w:rsidRPr="00895589">
        <w:rPr>
          <w:i/>
          <w:iCs/>
          <w:sz w:val="20"/>
          <w:szCs w:val="20"/>
          <w:lang w:val="en-US"/>
        </w:rPr>
        <w:t>Medika</w:t>
      </w:r>
      <w:proofErr w:type="spellEnd"/>
      <w:r w:rsidRPr="00895589">
        <w:rPr>
          <w:i/>
          <w:iCs/>
          <w:sz w:val="20"/>
          <w:szCs w:val="20"/>
          <w:lang w:val="en-US"/>
        </w:rPr>
        <w:t xml:space="preserve"> </w:t>
      </w:r>
      <w:proofErr w:type="spellStart"/>
      <w:r w:rsidRPr="00895589">
        <w:rPr>
          <w:i/>
          <w:iCs/>
          <w:sz w:val="20"/>
          <w:szCs w:val="20"/>
          <w:lang w:val="en-US"/>
        </w:rPr>
        <w:t>Malahayati</w:t>
      </w:r>
      <w:proofErr w:type="spellEnd"/>
      <w:r w:rsidRPr="00895589">
        <w:rPr>
          <w:i/>
          <w:iCs/>
          <w:sz w:val="20"/>
          <w:szCs w:val="20"/>
          <w:lang w:val="en-US"/>
        </w:rPr>
        <w:t>, 8</w:t>
      </w:r>
      <w:r w:rsidRPr="00895589">
        <w:rPr>
          <w:sz w:val="20"/>
          <w:szCs w:val="20"/>
          <w:lang w:val="en-US"/>
        </w:rPr>
        <w:t>(2), 382–389.</w:t>
      </w:r>
    </w:p>
    <w:p w14:paraId="3C3551C0" w14:textId="77777777" w:rsidR="00895589" w:rsidRPr="00895589" w:rsidRDefault="00895589" w:rsidP="00984E2F">
      <w:pPr>
        <w:ind w:left="284" w:hanging="284"/>
        <w:rPr>
          <w:sz w:val="20"/>
          <w:szCs w:val="20"/>
          <w:lang w:val="en-US"/>
        </w:rPr>
      </w:pPr>
      <w:r w:rsidRPr="00895589">
        <w:rPr>
          <w:sz w:val="20"/>
          <w:szCs w:val="20"/>
          <w:lang w:val="en-US"/>
        </w:rPr>
        <w:t xml:space="preserve">Fauzia, S., &amp; </w:t>
      </w:r>
      <w:proofErr w:type="spellStart"/>
      <w:r w:rsidRPr="00895589">
        <w:rPr>
          <w:sz w:val="20"/>
          <w:szCs w:val="20"/>
          <w:lang w:val="en-US"/>
        </w:rPr>
        <w:t>Zainun</w:t>
      </w:r>
      <w:proofErr w:type="spellEnd"/>
      <w:r w:rsidRPr="00895589">
        <w:rPr>
          <w:sz w:val="20"/>
          <w:szCs w:val="20"/>
          <w:lang w:val="en-US"/>
        </w:rPr>
        <w:t xml:space="preserve">, Z. (2025). </w:t>
      </w:r>
      <w:proofErr w:type="spellStart"/>
      <w:r w:rsidRPr="00895589">
        <w:rPr>
          <w:sz w:val="20"/>
          <w:szCs w:val="20"/>
          <w:lang w:val="en-US"/>
        </w:rPr>
        <w:t>Korelasi</w:t>
      </w:r>
      <w:proofErr w:type="spellEnd"/>
      <w:r w:rsidRPr="00895589">
        <w:rPr>
          <w:sz w:val="20"/>
          <w:szCs w:val="20"/>
          <w:lang w:val="en-US"/>
        </w:rPr>
        <w:t xml:space="preserve"> lama </w:t>
      </w:r>
      <w:proofErr w:type="spellStart"/>
      <w:r w:rsidRPr="00895589">
        <w:rPr>
          <w:sz w:val="20"/>
          <w:szCs w:val="20"/>
          <w:lang w:val="en-US"/>
        </w:rPr>
        <w:t>menderita</w:t>
      </w:r>
      <w:proofErr w:type="spellEnd"/>
      <w:r w:rsidRPr="00895589">
        <w:rPr>
          <w:sz w:val="20"/>
          <w:szCs w:val="20"/>
          <w:lang w:val="en-US"/>
        </w:rPr>
        <w:t xml:space="preserve"> </w:t>
      </w:r>
      <w:proofErr w:type="spellStart"/>
      <w:r w:rsidRPr="00895589">
        <w:rPr>
          <w:sz w:val="20"/>
          <w:szCs w:val="20"/>
          <w:lang w:val="en-US"/>
        </w:rPr>
        <w:t>hipertensi</w:t>
      </w:r>
      <w:proofErr w:type="spellEnd"/>
      <w:r w:rsidRPr="00895589">
        <w:rPr>
          <w:sz w:val="20"/>
          <w:szCs w:val="20"/>
          <w:lang w:val="en-US"/>
        </w:rPr>
        <w:t xml:space="preserve"> </w:t>
      </w:r>
      <w:proofErr w:type="spellStart"/>
      <w:r w:rsidRPr="00895589">
        <w:rPr>
          <w:sz w:val="20"/>
          <w:szCs w:val="20"/>
          <w:lang w:val="en-US"/>
        </w:rPr>
        <w:t>dengan</w:t>
      </w:r>
      <w:proofErr w:type="spellEnd"/>
      <w:r w:rsidRPr="00895589">
        <w:rPr>
          <w:sz w:val="20"/>
          <w:szCs w:val="20"/>
          <w:lang w:val="en-US"/>
        </w:rPr>
        <w:t xml:space="preserve"> stadium </w:t>
      </w:r>
      <w:proofErr w:type="spellStart"/>
      <w:r w:rsidRPr="00895589">
        <w:rPr>
          <w:sz w:val="20"/>
          <w:szCs w:val="20"/>
          <w:lang w:val="en-US"/>
        </w:rPr>
        <w:t>katarak</w:t>
      </w:r>
      <w:proofErr w:type="spellEnd"/>
      <w:r w:rsidRPr="00895589">
        <w:rPr>
          <w:sz w:val="20"/>
          <w:szCs w:val="20"/>
          <w:lang w:val="en-US"/>
        </w:rPr>
        <w:t xml:space="preserve"> senilis di Rumah Sakit Khusus Mata (RSKM) Regina Eye Center Padang. </w:t>
      </w:r>
      <w:r w:rsidRPr="00895589">
        <w:rPr>
          <w:i/>
          <w:iCs/>
          <w:sz w:val="20"/>
          <w:szCs w:val="20"/>
          <w:lang w:val="en-US"/>
        </w:rPr>
        <w:t>Nusantara Hasana Journal, 4</w:t>
      </w:r>
      <w:r w:rsidRPr="00895589">
        <w:rPr>
          <w:sz w:val="20"/>
          <w:szCs w:val="20"/>
          <w:lang w:val="en-US"/>
        </w:rPr>
        <w:t xml:space="preserve">(12), 1200-1214. </w:t>
      </w:r>
      <w:hyperlink r:id="rId21" w:history="1">
        <w:r w:rsidRPr="00895589">
          <w:rPr>
            <w:rStyle w:val="Hyperlink"/>
            <w:sz w:val="20"/>
            <w:szCs w:val="20"/>
          </w:rPr>
          <w:t>https://doi.org/10.59003/nhj.v4i12.1461</w:t>
        </w:r>
      </w:hyperlink>
      <w:r w:rsidRPr="00895589">
        <w:rPr>
          <w:sz w:val="20"/>
          <w:szCs w:val="20"/>
          <w:lang w:val="en-US"/>
        </w:rPr>
        <w:t>.</w:t>
      </w:r>
    </w:p>
    <w:p w14:paraId="648E0D7C" w14:textId="77777777" w:rsidR="00895589" w:rsidRPr="00895589" w:rsidRDefault="00895589" w:rsidP="00984E2F">
      <w:pPr>
        <w:ind w:left="284" w:hanging="284"/>
        <w:rPr>
          <w:sz w:val="20"/>
          <w:szCs w:val="20"/>
        </w:rPr>
      </w:pPr>
      <w:r w:rsidRPr="00895589">
        <w:rPr>
          <w:sz w:val="20"/>
          <w:szCs w:val="20"/>
        </w:rPr>
        <w:t xml:space="preserve">Hanis, N., &amp; Mayani, G. (2023). </w:t>
      </w:r>
      <w:r w:rsidRPr="00895589">
        <w:rPr>
          <w:sz w:val="20"/>
          <w:szCs w:val="20"/>
          <w:lang w:val="it-IT"/>
        </w:rPr>
        <w:t>Gambaran perbaikan visus serta komplikasi intraoperasi atau pascaoperasi pada pasien operasi katarak senilis di RSUD H. Abdul Manap Kota Jambi periode Januari 2021–Desember 2021. </w:t>
      </w:r>
      <w:r w:rsidRPr="00895589">
        <w:rPr>
          <w:i/>
          <w:iCs/>
          <w:sz w:val="20"/>
          <w:szCs w:val="20"/>
        </w:rPr>
        <w:t>Journal of Medical Studies</w:t>
      </w:r>
      <w:r w:rsidRPr="00895589">
        <w:rPr>
          <w:sz w:val="20"/>
          <w:szCs w:val="20"/>
        </w:rPr>
        <w:t>, </w:t>
      </w:r>
      <w:r w:rsidRPr="00895589">
        <w:rPr>
          <w:i/>
          <w:iCs/>
          <w:sz w:val="20"/>
          <w:szCs w:val="20"/>
        </w:rPr>
        <w:t>3</w:t>
      </w:r>
      <w:r w:rsidRPr="00895589">
        <w:rPr>
          <w:sz w:val="20"/>
          <w:szCs w:val="20"/>
        </w:rPr>
        <w:t>(1), 22-38.</w:t>
      </w:r>
    </w:p>
    <w:p w14:paraId="38A84CFA" w14:textId="77777777" w:rsidR="00895589" w:rsidRPr="00895589" w:rsidRDefault="00895589" w:rsidP="00984E2F">
      <w:pPr>
        <w:ind w:left="284" w:hanging="284"/>
        <w:rPr>
          <w:sz w:val="20"/>
          <w:szCs w:val="20"/>
          <w:lang w:val="en-US"/>
        </w:rPr>
      </w:pPr>
      <w:proofErr w:type="spellStart"/>
      <w:r w:rsidRPr="00895589">
        <w:rPr>
          <w:sz w:val="20"/>
          <w:szCs w:val="20"/>
          <w:lang w:val="en-US"/>
        </w:rPr>
        <w:t>Harianja</w:t>
      </w:r>
      <w:proofErr w:type="spellEnd"/>
      <w:r w:rsidRPr="00895589">
        <w:rPr>
          <w:sz w:val="20"/>
          <w:szCs w:val="20"/>
          <w:lang w:val="en-US"/>
        </w:rPr>
        <w:t xml:space="preserve">, G. M., </w:t>
      </w:r>
      <w:proofErr w:type="spellStart"/>
      <w:r w:rsidRPr="00895589">
        <w:rPr>
          <w:sz w:val="20"/>
          <w:szCs w:val="20"/>
          <w:lang w:val="en-US"/>
        </w:rPr>
        <w:t>Fatmawati</w:t>
      </w:r>
      <w:proofErr w:type="spellEnd"/>
      <w:r w:rsidRPr="00895589">
        <w:rPr>
          <w:sz w:val="20"/>
          <w:szCs w:val="20"/>
          <w:lang w:val="en-US"/>
        </w:rPr>
        <w:t xml:space="preserve">, N. K., &amp; </w:t>
      </w:r>
      <w:proofErr w:type="spellStart"/>
      <w:r w:rsidRPr="00895589">
        <w:rPr>
          <w:sz w:val="20"/>
          <w:szCs w:val="20"/>
          <w:lang w:val="en-US"/>
        </w:rPr>
        <w:t>Sulistiawati</w:t>
      </w:r>
      <w:proofErr w:type="spellEnd"/>
      <w:r w:rsidRPr="00895589">
        <w:rPr>
          <w:sz w:val="20"/>
          <w:szCs w:val="20"/>
          <w:lang w:val="en-US"/>
        </w:rPr>
        <w:t xml:space="preserve">. (2020). </w:t>
      </w:r>
      <w:proofErr w:type="spellStart"/>
      <w:r w:rsidRPr="00895589">
        <w:rPr>
          <w:sz w:val="20"/>
          <w:szCs w:val="20"/>
          <w:lang w:val="en-US"/>
        </w:rPr>
        <w:t>Penurunan</w:t>
      </w:r>
      <w:proofErr w:type="spellEnd"/>
      <w:r w:rsidRPr="00895589">
        <w:rPr>
          <w:sz w:val="20"/>
          <w:szCs w:val="20"/>
          <w:lang w:val="en-US"/>
        </w:rPr>
        <w:t xml:space="preserve"> </w:t>
      </w:r>
      <w:proofErr w:type="spellStart"/>
      <w:r w:rsidRPr="00895589">
        <w:rPr>
          <w:sz w:val="20"/>
          <w:szCs w:val="20"/>
          <w:lang w:val="en-US"/>
        </w:rPr>
        <w:t>tekanan</w:t>
      </w:r>
      <w:proofErr w:type="spellEnd"/>
      <w:r w:rsidRPr="00895589">
        <w:rPr>
          <w:sz w:val="20"/>
          <w:szCs w:val="20"/>
          <w:lang w:val="en-US"/>
        </w:rPr>
        <w:t xml:space="preserve"> </w:t>
      </w:r>
      <w:proofErr w:type="spellStart"/>
      <w:r w:rsidRPr="00895589">
        <w:rPr>
          <w:sz w:val="20"/>
          <w:szCs w:val="20"/>
          <w:lang w:val="en-US"/>
        </w:rPr>
        <w:t>intraokular</w:t>
      </w:r>
      <w:proofErr w:type="spellEnd"/>
      <w:r w:rsidRPr="00895589">
        <w:rPr>
          <w:sz w:val="20"/>
          <w:szCs w:val="20"/>
          <w:lang w:val="en-US"/>
        </w:rPr>
        <w:t xml:space="preserve"> </w:t>
      </w:r>
      <w:proofErr w:type="spellStart"/>
      <w:r w:rsidRPr="00895589">
        <w:rPr>
          <w:sz w:val="20"/>
          <w:szCs w:val="20"/>
          <w:lang w:val="en-US"/>
        </w:rPr>
        <w:t>pasca</w:t>
      </w:r>
      <w:proofErr w:type="spellEnd"/>
      <w:r w:rsidRPr="00895589">
        <w:rPr>
          <w:sz w:val="20"/>
          <w:szCs w:val="20"/>
          <w:lang w:val="en-US"/>
        </w:rPr>
        <w:t xml:space="preserve"> </w:t>
      </w:r>
      <w:proofErr w:type="spellStart"/>
      <w:r w:rsidRPr="00895589">
        <w:rPr>
          <w:sz w:val="20"/>
          <w:szCs w:val="20"/>
          <w:lang w:val="en-US"/>
        </w:rPr>
        <w:t>operasi</w:t>
      </w:r>
      <w:proofErr w:type="spellEnd"/>
      <w:r w:rsidRPr="00895589">
        <w:rPr>
          <w:sz w:val="20"/>
          <w:szCs w:val="20"/>
          <w:lang w:val="en-US"/>
        </w:rPr>
        <w:t xml:space="preserve"> </w:t>
      </w:r>
      <w:proofErr w:type="spellStart"/>
      <w:r w:rsidRPr="00895589">
        <w:rPr>
          <w:sz w:val="20"/>
          <w:szCs w:val="20"/>
          <w:lang w:val="en-US"/>
        </w:rPr>
        <w:t>katarak</w:t>
      </w:r>
      <w:proofErr w:type="spellEnd"/>
      <w:r w:rsidRPr="00895589">
        <w:rPr>
          <w:sz w:val="20"/>
          <w:szCs w:val="20"/>
          <w:lang w:val="en-US"/>
        </w:rPr>
        <w:t xml:space="preserve"> </w:t>
      </w:r>
      <w:proofErr w:type="spellStart"/>
      <w:r w:rsidRPr="00895589">
        <w:rPr>
          <w:sz w:val="20"/>
          <w:szCs w:val="20"/>
          <w:lang w:val="en-US"/>
        </w:rPr>
        <w:t>dengan</w:t>
      </w:r>
      <w:proofErr w:type="spellEnd"/>
      <w:r w:rsidRPr="00895589">
        <w:rPr>
          <w:sz w:val="20"/>
          <w:szCs w:val="20"/>
          <w:lang w:val="en-US"/>
        </w:rPr>
        <w:t xml:space="preserve"> </w:t>
      </w:r>
      <w:proofErr w:type="spellStart"/>
      <w:r w:rsidRPr="00895589">
        <w:rPr>
          <w:sz w:val="20"/>
          <w:szCs w:val="20"/>
          <w:lang w:val="en-US"/>
        </w:rPr>
        <w:t>teknik</w:t>
      </w:r>
      <w:proofErr w:type="spellEnd"/>
      <w:r w:rsidRPr="00895589">
        <w:rPr>
          <w:sz w:val="20"/>
          <w:szCs w:val="20"/>
          <w:lang w:val="en-US"/>
        </w:rPr>
        <w:t xml:space="preserve"> </w:t>
      </w:r>
      <w:proofErr w:type="spellStart"/>
      <w:r w:rsidRPr="00895589">
        <w:rPr>
          <w:sz w:val="20"/>
          <w:szCs w:val="20"/>
          <w:lang w:val="en-US"/>
        </w:rPr>
        <w:t>fakoemulsifikasi</w:t>
      </w:r>
      <w:proofErr w:type="spellEnd"/>
      <w:r w:rsidRPr="00895589">
        <w:rPr>
          <w:sz w:val="20"/>
          <w:szCs w:val="20"/>
          <w:lang w:val="en-US"/>
        </w:rPr>
        <w:t xml:space="preserve"> di </w:t>
      </w:r>
      <w:proofErr w:type="spellStart"/>
      <w:r w:rsidRPr="00895589">
        <w:rPr>
          <w:sz w:val="20"/>
          <w:szCs w:val="20"/>
          <w:lang w:val="en-US"/>
        </w:rPr>
        <w:t>Klinik</w:t>
      </w:r>
      <w:proofErr w:type="spellEnd"/>
      <w:r w:rsidRPr="00895589">
        <w:rPr>
          <w:sz w:val="20"/>
          <w:szCs w:val="20"/>
          <w:lang w:val="en-US"/>
        </w:rPr>
        <w:t xml:space="preserve"> Mata SMEC </w:t>
      </w:r>
      <w:proofErr w:type="spellStart"/>
      <w:r w:rsidRPr="00895589">
        <w:rPr>
          <w:sz w:val="20"/>
          <w:szCs w:val="20"/>
          <w:lang w:val="en-US"/>
        </w:rPr>
        <w:t>Samarinda</w:t>
      </w:r>
      <w:proofErr w:type="spellEnd"/>
      <w:r w:rsidRPr="00895589">
        <w:rPr>
          <w:sz w:val="20"/>
          <w:szCs w:val="20"/>
          <w:lang w:val="en-US"/>
        </w:rPr>
        <w:t xml:space="preserve">. </w:t>
      </w:r>
      <w:proofErr w:type="spellStart"/>
      <w:r w:rsidRPr="00895589">
        <w:rPr>
          <w:i/>
          <w:iCs/>
          <w:sz w:val="20"/>
          <w:szCs w:val="20"/>
          <w:lang w:val="en-US"/>
        </w:rPr>
        <w:t>Jurnal</w:t>
      </w:r>
      <w:proofErr w:type="spellEnd"/>
      <w:r w:rsidRPr="00895589">
        <w:rPr>
          <w:i/>
          <w:iCs/>
          <w:sz w:val="20"/>
          <w:szCs w:val="20"/>
          <w:lang w:val="en-US"/>
        </w:rPr>
        <w:t xml:space="preserve"> </w:t>
      </w:r>
      <w:proofErr w:type="spellStart"/>
      <w:r w:rsidRPr="00895589">
        <w:rPr>
          <w:i/>
          <w:iCs/>
          <w:sz w:val="20"/>
          <w:szCs w:val="20"/>
          <w:lang w:val="en-US"/>
        </w:rPr>
        <w:t>Kedokteran</w:t>
      </w:r>
      <w:proofErr w:type="spellEnd"/>
      <w:r w:rsidRPr="00895589">
        <w:rPr>
          <w:i/>
          <w:iCs/>
          <w:sz w:val="20"/>
          <w:szCs w:val="20"/>
          <w:lang w:val="en-US"/>
        </w:rPr>
        <w:t xml:space="preserve"> </w:t>
      </w:r>
      <w:proofErr w:type="spellStart"/>
      <w:r w:rsidRPr="00895589">
        <w:rPr>
          <w:i/>
          <w:iCs/>
          <w:sz w:val="20"/>
          <w:szCs w:val="20"/>
          <w:lang w:val="en-US"/>
        </w:rPr>
        <w:t>Mulawarman</w:t>
      </w:r>
      <w:proofErr w:type="spellEnd"/>
      <w:r w:rsidRPr="00895589">
        <w:rPr>
          <w:i/>
          <w:iCs/>
          <w:sz w:val="20"/>
          <w:szCs w:val="20"/>
          <w:lang w:val="en-US"/>
        </w:rPr>
        <w:t>, 7</w:t>
      </w:r>
      <w:r w:rsidRPr="00895589">
        <w:rPr>
          <w:sz w:val="20"/>
          <w:szCs w:val="20"/>
          <w:lang w:val="en-US"/>
        </w:rPr>
        <w:t xml:space="preserve">(3), 7–13. </w:t>
      </w:r>
      <w:hyperlink r:id="rId22" w:history="1">
        <w:r w:rsidRPr="00895589">
          <w:rPr>
            <w:rStyle w:val="Hyperlink"/>
            <w:sz w:val="20"/>
            <w:szCs w:val="20"/>
          </w:rPr>
          <w:t>http://dx.doi.org/10.30872/jkm.v7i3.4941</w:t>
        </w:r>
      </w:hyperlink>
      <w:r w:rsidRPr="00895589">
        <w:rPr>
          <w:sz w:val="20"/>
          <w:szCs w:val="20"/>
          <w:lang w:val="en-US"/>
        </w:rPr>
        <w:t>.</w:t>
      </w:r>
    </w:p>
    <w:p w14:paraId="2B9DE11F" w14:textId="77777777" w:rsidR="00895589" w:rsidRPr="00895589" w:rsidRDefault="00895589" w:rsidP="00984E2F">
      <w:pPr>
        <w:ind w:left="284" w:hanging="284"/>
        <w:rPr>
          <w:sz w:val="20"/>
          <w:szCs w:val="20"/>
        </w:rPr>
      </w:pPr>
      <w:r w:rsidRPr="00895589">
        <w:rPr>
          <w:sz w:val="20"/>
          <w:szCs w:val="20"/>
        </w:rPr>
        <w:t xml:space="preserve">Kato, Y., Ayaki, M., Tamaoki, A., Tanaka, Y., Ichikawa, K., &amp; Ichikawa, K. (2024). Accuracy of new intraocular lens power calculation formula for short and long eyes using segmental </w:t>
      </w:r>
      <w:r w:rsidRPr="00895589">
        <w:rPr>
          <w:sz w:val="20"/>
          <w:szCs w:val="20"/>
        </w:rPr>
        <w:lastRenderedPageBreak/>
        <w:t>refractive indices. </w:t>
      </w:r>
      <w:r w:rsidRPr="00895589">
        <w:rPr>
          <w:i/>
          <w:iCs/>
          <w:sz w:val="20"/>
          <w:szCs w:val="20"/>
        </w:rPr>
        <w:t>Journal of Cataract &amp; Refractive Surgery</w:t>
      </w:r>
      <w:r w:rsidRPr="00895589">
        <w:rPr>
          <w:sz w:val="20"/>
          <w:szCs w:val="20"/>
        </w:rPr>
        <w:t>, </w:t>
      </w:r>
      <w:r w:rsidRPr="00895589">
        <w:rPr>
          <w:i/>
          <w:iCs/>
          <w:sz w:val="20"/>
          <w:szCs w:val="20"/>
        </w:rPr>
        <w:t>50</w:t>
      </w:r>
      <w:r w:rsidRPr="00895589">
        <w:rPr>
          <w:sz w:val="20"/>
          <w:szCs w:val="20"/>
        </w:rPr>
        <w:t xml:space="preserve">(8), 810-815. </w:t>
      </w:r>
      <w:hyperlink r:id="rId23" w:history="1">
        <w:r w:rsidRPr="00895589">
          <w:rPr>
            <w:rStyle w:val="Hyperlink"/>
            <w:sz w:val="20"/>
            <w:szCs w:val="20"/>
          </w:rPr>
          <w:t>https://doi.org/10.1097/j.jcrs.0000000000001466</w:t>
        </w:r>
      </w:hyperlink>
      <w:r w:rsidRPr="00895589">
        <w:rPr>
          <w:sz w:val="20"/>
          <w:szCs w:val="20"/>
        </w:rPr>
        <w:t>.</w:t>
      </w:r>
    </w:p>
    <w:p w14:paraId="62D234FB" w14:textId="77777777" w:rsidR="00895589" w:rsidRPr="00895589" w:rsidRDefault="00895589" w:rsidP="00984E2F">
      <w:pPr>
        <w:ind w:left="284" w:hanging="284"/>
        <w:rPr>
          <w:sz w:val="20"/>
          <w:szCs w:val="20"/>
        </w:rPr>
      </w:pPr>
      <w:proofErr w:type="spellStart"/>
      <w:r w:rsidRPr="00895589">
        <w:rPr>
          <w:sz w:val="20"/>
          <w:szCs w:val="20"/>
        </w:rPr>
        <w:t>Khoramnia</w:t>
      </w:r>
      <w:proofErr w:type="spellEnd"/>
      <w:r w:rsidRPr="00895589">
        <w:rPr>
          <w:sz w:val="20"/>
          <w:szCs w:val="20"/>
        </w:rPr>
        <w:t xml:space="preserve">, R., </w:t>
      </w:r>
      <w:proofErr w:type="spellStart"/>
      <w:r w:rsidRPr="00895589">
        <w:rPr>
          <w:sz w:val="20"/>
          <w:szCs w:val="20"/>
        </w:rPr>
        <w:t>Auffarth</w:t>
      </w:r>
      <w:proofErr w:type="spellEnd"/>
      <w:r w:rsidRPr="00895589">
        <w:rPr>
          <w:sz w:val="20"/>
          <w:szCs w:val="20"/>
        </w:rPr>
        <w:t xml:space="preserve">, G., </w:t>
      </w:r>
      <w:proofErr w:type="spellStart"/>
      <w:r w:rsidRPr="00895589">
        <w:rPr>
          <w:rFonts w:ascii="Cambria" w:hAnsi="Cambria" w:cs="Cambria"/>
          <w:sz w:val="20"/>
          <w:szCs w:val="20"/>
        </w:rPr>
        <w:t>Ł</w:t>
      </w:r>
      <w:r w:rsidRPr="00895589">
        <w:rPr>
          <w:sz w:val="20"/>
          <w:szCs w:val="20"/>
        </w:rPr>
        <w:t>abuz</w:t>
      </w:r>
      <w:proofErr w:type="spellEnd"/>
      <w:r w:rsidRPr="00895589">
        <w:rPr>
          <w:sz w:val="20"/>
          <w:szCs w:val="20"/>
        </w:rPr>
        <w:t>, G., Pettit, G., &amp; Suryakumar, R. (2022). Refractive outcomes after cataract surgery.</w:t>
      </w:r>
      <w:r w:rsidRPr="00895589">
        <w:rPr>
          <w:rFonts w:cs="Bell MT"/>
          <w:sz w:val="20"/>
          <w:szCs w:val="20"/>
        </w:rPr>
        <w:t> </w:t>
      </w:r>
      <w:r w:rsidRPr="00895589">
        <w:rPr>
          <w:i/>
          <w:iCs/>
          <w:sz w:val="20"/>
          <w:szCs w:val="20"/>
        </w:rPr>
        <w:t>Diagnostics</w:t>
      </w:r>
      <w:r w:rsidRPr="00895589">
        <w:rPr>
          <w:sz w:val="20"/>
          <w:szCs w:val="20"/>
        </w:rPr>
        <w:t>, </w:t>
      </w:r>
      <w:r w:rsidRPr="00895589">
        <w:rPr>
          <w:i/>
          <w:iCs/>
          <w:sz w:val="20"/>
          <w:szCs w:val="20"/>
        </w:rPr>
        <w:t>12</w:t>
      </w:r>
      <w:r w:rsidRPr="00895589">
        <w:rPr>
          <w:sz w:val="20"/>
          <w:szCs w:val="20"/>
        </w:rPr>
        <w:t xml:space="preserve">(2), 243-257. </w:t>
      </w:r>
      <w:hyperlink r:id="rId24" w:history="1">
        <w:r w:rsidRPr="00895589">
          <w:rPr>
            <w:rStyle w:val="Hyperlink"/>
            <w:sz w:val="20"/>
            <w:szCs w:val="20"/>
          </w:rPr>
          <w:t>https://doi.org/10.3390/diagnostics12020243</w:t>
        </w:r>
      </w:hyperlink>
      <w:r w:rsidRPr="00895589">
        <w:rPr>
          <w:sz w:val="20"/>
          <w:szCs w:val="20"/>
        </w:rPr>
        <w:t>.</w:t>
      </w:r>
    </w:p>
    <w:p w14:paraId="35476F67" w14:textId="77777777" w:rsidR="00895589" w:rsidRPr="00895589" w:rsidRDefault="00895589" w:rsidP="00984E2F">
      <w:pPr>
        <w:ind w:left="284" w:hanging="284"/>
        <w:rPr>
          <w:sz w:val="20"/>
          <w:szCs w:val="20"/>
        </w:rPr>
      </w:pPr>
      <w:proofErr w:type="spellStart"/>
      <w:r w:rsidRPr="00895589">
        <w:rPr>
          <w:sz w:val="20"/>
          <w:szCs w:val="20"/>
        </w:rPr>
        <w:t>Khristiawati</w:t>
      </w:r>
      <w:proofErr w:type="spellEnd"/>
      <w:r w:rsidRPr="00895589">
        <w:rPr>
          <w:sz w:val="20"/>
          <w:szCs w:val="20"/>
        </w:rPr>
        <w:t xml:space="preserve">, N. Y. (2024). Hasil </w:t>
      </w:r>
      <w:proofErr w:type="spellStart"/>
      <w:r w:rsidRPr="00895589">
        <w:rPr>
          <w:sz w:val="20"/>
          <w:szCs w:val="20"/>
        </w:rPr>
        <w:t>tajam</w:t>
      </w:r>
      <w:proofErr w:type="spellEnd"/>
      <w:r w:rsidRPr="00895589">
        <w:rPr>
          <w:sz w:val="20"/>
          <w:szCs w:val="20"/>
        </w:rPr>
        <w:t xml:space="preserve"> </w:t>
      </w:r>
      <w:proofErr w:type="spellStart"/>
      <w:r w:rsidRPr="00895589">
        <w:rPr>
          <w:sz w:val="20"/>
          <w:szCs w:val="20"/>
        </w:rPr>
        <w:t>penglihatan</w:t>
      </w:r>
      <w:proofErr w:type="spellEnd"/>
      <w:r w:rsidRPr="00895589">
        <w:rPr>
          <w:sz w:val="20"/>
          <w:szCs w:val="20"/>
        </w:rPr>
        <w:t xml:space="preserve"> </w:t>
      </w:r>
      <w:proofErr w:type="spellStart"/>
      <w:r w:rsidRPr="00895589">
        <w:rPr>
          <w:sz w:val="20"/>
          <w:szCs w:val="20"/>
        </w:rPr>
        <w:t>pasca</w:t>
      </w:r>
      <w:proofErr w:type="spellEnd"/>
      <w:r w:rsidRPr="00895589">
        <w:rPr>
          <w:sz w:val="20"/>
          <w:szCs w:val="20"/>
        </w:rPr>
        <w:t xml:space="preserve"> </w:t>
      </w:r>
      <w:proofErr w:type="spellStart"/>
      <w:r w:rsidRPr="00895589">
        <w:rPr>
          <w:sz w:val="20"/>
          <w:szCs w:val="20"/>
        </w:rPr>
        <w:t>operasi</w:t>
      </w:r>
      <w:proofErr w:type="spellEnd"/>
      <w:r w:rsidRPr="00895589">
        <w:rPr>
          <w:sz w:val="20"/>
          <w:szCs w:val="20"/>
        </w:rPr>
        <w:t xml:space="preserve"> </w:t>
      </w:r>
      <w:proofErr w:type="spellStart"/>
      <w:r w:rsidRPr="00895589">
        <w:rPr>
          <w:sz w:val="20"/>
          <w:szCs w:val="20"/>
        </w:rPr>
        <w:t>katarak</w:t>
      </w:r>
      <w:proofErr w:type="spellEnd"/>
      <w:r w:rsidRPr="00895589">
        <w:rPr>
          <w:sz w:val="20"/>
          <w:szCs w:val="20"/>
        </w:rPr>
        <w:t xml:space="preserve"> </w:t>
      </w:r>
      <w:proofErr w:type="spellStart"/>
      <w:r w:rsidRPr="00895589">
        <w:rPr>
          <w:sz w:val="20"/>
          <w:szCs w:val="20"/>
        </w:rPr>
        <w:t>teknik</w:t>
      </w:r>
      <w:proofErr w:type="spellEnd"/>
      <w:r w:rsidRPr="00895589">
        <w:rPr>
          <w:sz w:val="20"/>
          <w:szCs w:val="20"/>
        </w:rPr>
        <w:t xml:space="preserve"> </w:t>
      </w:r>
      <w:proofErr w:type="spellStart"/>
      <w:r w:rsidRPr="00895589">
        <w:rPr>
          <w:sz w:val="20"/>
          <w:szCs w:val="20"/>
        </w:rPr>
        <w:t>phacoemulsifikasi</w:t>
      </w:r>
      <w:proofErr w:type="spellEnd"/>
      <w:r w:rsidRPr="00895589">
        <w:rPr>
          <w:sz w:val="20"/>
          <w:szCs w:val="20"/>
        </w:rPr>
        <w:t xml:space="preserve"> di RSU Puri </w:t>
      </w:r>
      <w:proofErr w:type="spellStart"/>
      <w:r w:rsidRPr="00895589">
        <w:rPr>
          <w:sz w:val="20"/>
          <w:szCs w:val="20"/>
        </w:rPr>
        <w:t>Raharja</w:t>
      </w:r>
      <w:proofErr w:type="spellEnd"/>
      <w:r w:rsidRPr="00895589">
        <w:rPr>
          <w:sz w:val="20"/>
          <w:szCs w:val="20"/>
        </w:rPr>
        <w:t xml:space="preserve"> Denpasar </w:t>
      </w:r>
      <w:proofErr w:type="spellStart"/>
      <w:r w:rsidRPr="00895589">
        <w:rPr>
          <w:sz w:val="20"/>
          <w:szCs w:val="20"/>
        </w:rPr>
        <w:t>periode</w:t>
      </w:r>
      <w:proofErr w:type="spellEnd"/>
      <w:r w:rsidRPr="00895589">
        <w:rPr>
          <w:sz w:val="20"/>
          <w:szCs w:val="20"/>
        </w:rPr>
        <w:t xml:space="preserve"> </w:t>
      </w:r>
      <w:proofErr w:type="spellStart"/>
      <w:r w:rsidRPr="00895589">
        <w:rPr>
          <w:sz w:val="20"/>
          <w:szCs w:val="20"/>
        </w:rPr>
        <w:t>Januari</w:t>
      </w:r>
      <w:proofErr w:type="spellEnd"/>
      <w:r w:rsidRPr="00895589">
        <w:rPr>
          <w:sz w:val="20"/>
          <w:szCs w:val="20"/>
        </w:rPr>
        <w:t>–</w:t>
      </w:r>
      <w:proofErr w:type="spellStart"/>
      <w:r w:rsidRPr="00895589">
        <w:rPr>
          <w:sz w:val="20"/>
          <w:szCs w:val="20"/>
        </w:rPr>
        <w:t>Maret</w:t>
      </w:r>
      <w:proofErr w:type="spellEnd"/>
      <w:r w:rsidRPr="00895589">
        <w:rPr>
          <w:sz w:val="20"/>
          <w:szCs w:val="20"/>
        </w:rPr>
        <w:t xml:space="preserve"> 2024. </w:t>
      </w:r>
      <w:proofErr w:type="spellStart"/>
      <w:r w:rsidRPr="00895589">
        <w:rPr>
          <w:i/>
          <w:iCs/>
          <w:sz w:val="20"/>
          <w:szCs w:val="20"/>
        </w:rPr>
        <w:t>Jurnal</w:t>
      </w:r>
      <w:proofErr w:type="spellEnd"/>
      <w:r w:rsidRPr="00895589">
        <w:rPr>
          <w:i/>
          <w:iCs/>
          <w:sz w:val="20"/>
          <w:szCs w:val="20"/>
        </w:rPr>
        <w:t xml:space="preserve"> Kesehatan, 1</w:t>
      </w:r>
      <w:r w:rsidRPr="00895589">
        <w:rPr>
          <w:sz w:val="20"/>
          <w:szCs w:val="20"/>
        </w:rPr>
        <w:t>(1), 8–10.</w:t>
      </w:r>
    </w:p>
    <w:p w14:paraId="1089A3AE" w14:textId="77777777" w:rsidR="00895589" w:rsidRPr="00895589" w:rsidRDefault="00895589" w:rsidP="00984E2F">
      <w:pPr>
        <w:ind w:left="284" w:hanging="284"/>
        <w:rPr>
          <w:sz w:val="20"/>
          <w:szCs w:val="20"/>
        </w:rPr>
      </w:pPr>
      <w:r w:rsidRPr="00895589">
        <w:rPr>
          <w:sz w:val="20"/>
          <w:szCs w:val="20"/>
        </w:rPr>
        <w:t xml:space="preserve">Lai, T. H. T., Tse, J. Y. T., Chan, J. W. T., &amp; Li, K. K. W. (2024). </w:t>
      </w:r>
      <w:r w:rsidRPr="00895589">
        <w:rPr>
          <w:sz w:val="20"/>
          <w:szCs w:val="20"/>
          <w:lang w:val="en-US"/>
        </w:rPr>
        <w:t xml:space="preserve">Visual and refractive outcomes after phacoemulsification cataract surgery in </w:t>
      </w:r>
      <w:proofErr w:type="spellStart"/>
      <w:r w:rsidRPr="00895589">
        <w:rPr>
          <w:sz w:val="20"/>
          <w:szCs w:val="20"/>
          <w:lang w:val="en-US"/>
        </w:rPr>
        <w:t>nanophthalmic</w:t>
      </w:r>
      <w:proofErr w:type="spellEnd"/>
      <w:r w:rsidRPr="00895589">
        <w:rPr>
          <w:sz w:val="20"/>
          <w:szCs w:val="20"/>
          <w:lang w:val="en-US"/>
        </w:rPr>
        <w:t xml:space="preserve"> eyes. </w:t>
      </w:r>
      <w:r w:rsidRPr="00895589">
        <w:rPr>
          <w:i/>
          <w:iCs/>
          <w:sz w:val="20"/>
          <w:szCs w:val="20"/>
          <w:lang w:val="en-US"/>
        </w:rPr>
        <w:t>Journal of Clinical Medicine, 13</w:t>
      </w:r>
      <w:r w:rsidRPr="00895589">
        <w:rPr>
          <w:sz w:val="20"/>
          <w:szCs w:val="20"/>
          <w:lang w:val="en-US"/>
        </w:rPr>
        <w:t xml:space="preserve">(19), 1900-1914. </w:t>
      </w:r>
      <w:hyperlink r:id="rId25" w:history="1">
        <w:r w:rsidRPr="00895589">
          <w:rPr>
            <w:rStyle w:val="Hyperlink"/>
            <w:sz w:val="20"/>
            <w:szCs w:val="20"/>
          </w:rPr>
          <w:t>https://doi.org/10.3390/jcm13195852</w:t>
        </w:r>
      </w:hyperlink>
      <w:r w:rsidRPr="00895589">
        <w:rPr>
          <w:sz w:val="20"/>
          <w:szCs w:val="20"/>
        </w:rPr>
        <w:t>.</w:t>
      </w:r>
    </w:p>
    <w:p w14:paraId="0B58F4D9" w14:textId="77777777" w:rsidR="00895589" w:rsidRPr="00895589" w:rsidRDefault="00895589" w:rsidP="00984E2F">
      <w:pPr>
        <w:ind w:left="284" w:hanging="284"/>
        <w:rPr>
          <w:sz w:val="20"/>
          <w:szCs w:val="20"/>
        </w:rPr>
      </w:pPr>
      <w:r w:rsidRPr="00895589">
        <w:rPr>
          <w:sz w:val="20"/>
          <w:szCs w:val="20"/>
        </w:rPr>
        <w:t>Lapp, T., Wacker, K., Heinz, C., Maier, P., Eberwein, P., &amp; Reinhard, T. (2023). Cataract surgery—indications, techniques, and intraocular lens selection. </w:t>
      </w:r>
      <w:proofErr w:type="spellStart"/>
      <w:r w:rsidRPr="00895589">
        <w:rPr>
          <w:i/>
          <w:iCs/>
          <w:sz w:val="20"/>
          <w:szCs w:val="20"/>
        </w:rPr>
        <w:t>Deutsches</w:t>
      </w:r>
      <w:proofErr w:type="spellEnd"/>
      <w:r w:rsidRPr="00895589">
        <w:rPr>
          <w:i/>
          <w:iCs/>
          <w:sz w:val="20"/>
          <w:szCs w:val="20"/>
        </w:rPr>
        <w:t xml:space="preserve"> </w:t>
      </w:r>
      <w:proofErr w:type="spellStart"/>
      <w:r w:rsidRPr="00895589">
        <w:rPr>
          <w:i/>
          <w:iCs/>
          <w:sz w:val="20"/>
          <w:szCs w:val="20"/>
        </w:rPr>
        <w:t>Ärzteblatt</w:t>
      </w:r>
      <w:proofErr w:type="spellEnd"/>
      <w:r w:rsidRPr="00895589">
        <w:rPr>
          <w:i/>
          <w:iCs/>
          <w:sz w:val="20"/>
          <w:szCs w:val="20"/>
        </w:rPr>
        <w:t xml:space="preserve"> International</w:t>
      </w:r>
      <w:r w:rsidRPr="00895589">
        <w:rPr>
          <w:sz w:val="20"/>
          <w:szCs w:val="20"/>
        </w:rPr>
        <w:t>, </w:t>
      </w:r>
      <w:r w:rsidRPr="00895589">
        <w:rPr>
          <w:i/>
          <w:iCs/>
          <w:sz w:val="20"/>
          <w:szCs w:val="20"/>
        </w:rPr>
        <w:t>120</w:t>
      </w:r>
      <w:r w:rsidRPr="00895589">
        <w:rPr>
          <w:sz w:val="20"/>
          <w:szCs w:val="20"/>
        </w:rPr>
        <w:t xml:space="preserve">(21-22), 377-388. </w:t>
      </w:r>
      <w:hyperlink r:id="rId26" w:tgtFrame="_blank" w:history="1">
        <w:r w:rsidRPr="00895589">
          <w:rPr>
            <w:rStyle w:val="Hyperlink"/>
            <w:sz w:val="20"/>
            <w:szCs w:val="20"/>
          </w:rPr>
          <w:t>https://doi.org/10.3238/arztebl.m2023.0028</w:t>
        </w:r>
      </w:hyperlink>
      <w:r w:rsidRPr="00895589">
        <w:rPr>
          <w:sz w:val="20"/>
          <w:szCs w:val="20"/>
        </w:rPr>
        <w:t>.</w:t>
      </w:r>
    </w:p>
    <w:p w14:paraId="6EB5E9DE" w14:textId="77777777" w:rsidR="00895589" w:rsidRPr="00895589" w:rsidRDefault="00895589" w:rsidP="00984E2F">
      <w:pPr>
        <w:ind w:left="284" w:hanging="284"/>
        <w:rPr>
          <w:sz w:val="20"/>
          <w:szCs w:val="20"/>
          <w:lang w:val="en-US"/>
        </w:rPr>
      </w:pPr>
      <w:proofErr w:type="spellStart"/>
      <w:r w:rsidRPr="00895589">
        <w:rPr>
          <w:sz w:val="20"/>
          <w:szCs w:val="20"/>
          <w:lang w:val="en-US"/>
        </w:rPr>
        <w:t>Mudrikah</w:t>
      </w:r>
      <w:proofErr w:type="spellEnd"/>
      <w:r w:rsidRPr="00895589">
        <w:rPr>
          <w:sz w:val="20"/>
          <w:szCs w:val="20"/>
          <w:lang w:val="en-US"/>
        </w:rPr>
        <w:t xml:space="preserve">. (2024). </w:t>
      </w:r>
      <w:proofErr w:type="spellStart"/>
      <w:r w:rsidRPr="00895589">
        <w:rPr>
          <w:sz w:val="20"/>
          <w:szCs w:val="20"/>
          <w:lang w:val="en-US"/>
        </w:rPr>
        <w:t>Karakteristik</w:t>
      </w:r>
      <w:proofErr w:type="spellEnd"/>
      <w:r w:rsidRPr="00895589">
        <w:rPr>
          <w:sz w:val="20"/>
          <w:szCs w:val="20"/>
          <w:lang w:val="en-US"/>
        </w:rPr>
        <w:t xml:space="preserve"> </w:t>
      </w:r>
      <w:proofErr w:type="spellStart"/>
      <w:r w:rsidRPr="00895589">
        <w:rPr>
          <w:sz w:val="20"/>
          <w:szCs w:val="20"/>
          <w:lang w:val="en-US"/>
        </w:rPr>
        <w:t>pasien</w:t>
      </w:r>
      <w:proofErr w:type="spellEnd"/>
      <w:r w:rsidRPr="00895589">
        <w:rPr>
          <w:sz w:val="20"/>
          <w:szCs w:val="20"/>
          <w:lang w:val="en-US"/>
        </w:rPr>
        <w:t xml:space="preserve"> </w:t>
      </w:r>
      <w:proofErr w:type="spellStart"/>
      <w:r w:rsidRPr="00895589">
        <w:rPr>
          <w:sz w:val="20"/>
          <w:szCs w:val="20"/>
          <w:lang w:val="en-US"/>
        </w:rPr>
        <w:t>operasi</w:t>
      </w:r>
      <w:proofErr w:type="spellEnd"/>
      <w:r w:rsidRPr="00895589">
        <w:rPr>
          <w:sz w:val="20"/>
          <w:szCs w:val="20"/>
          <w:lang w:val="en-US"/>
        </w:rPr>
        <w:t xml:space="preserve"> </w:t>
      </w:r>
      <w:proofErr w:type="spellStart"/>
      <w:r w:rsidRPr="00895589">
        <w:rPr>
          <w:sz w:val="20"/>
          <w:szCs w:val="20"/>
          <w:lang w:val="en-US"/>
        </w:rPr>
        <w:t>katarak</w:t>
      </w:r>
      <w:proofErr w:type="spellEnd"/>
      <w:r w:rsidRPr="00895589">
        <w:rPr>
          <w:sz w:val="20"/>
          <w:szCs w:val="20"/>
          <w:lang w:val="en-US"/>
        </w:rPr>
        <w:t xml:space="preserve"> di </w:t>
      </w:r>
      <w:proofErr w:type="spellStart"/>
      <w:r w:rsidRPr="00895589">
        <w:rPr>
          <w:sz w:val="20"/>
          <w:szCs w:val="20"/>
          <w:lang w:val="en-US"/>
        </w:rPr>
        <w:t>Rumah</w:t>
      </w:r>
      <w:proofErr w:type="spellEnd"/>
      <w:r w:rsidRPr="00895589">
        <w:rPr>
          <w:sz w:val="20"/>
          <w:szCs w:val="20"/>
          <w:lang w:val="en-US"/>
        </w:rPr>
        <w:t xml:space="preserve"> </w:t>
      </w:r>
      <w:proofErr w:type="spellStart"/>
      <w:r w:rsidRPr="00895589">
        <w:rPr>
          <w:sz w:val="20"/>
          <w:szCs w:val="20"/>
          <w:lang w:val="en-US"/>
        </w:rPr>
        <w:t>Sakit</w:t>
      </w:r>
      <w:proofErr w:type="spellEnd"/>
      <w:r w:rsidRPr="00895589">
        <w:rPr>
          <w:sz w:val="20"/>
          <w:szCs w:val="20"/>
          <w:lang w:val="en-US"/>
        </w:rPr>
        <w:t xml:space="preserve"> </w:t>
      </w:r>
      <w:proofErr w:type="spellStart"/>
      <w:r w:rsidRPr="00895589">
        <w:rPr>
          <w:sz w:val="20"/>
          <w:szCs w:val="20"/>
          <w:lang w:val="en-US"/>
        </w:rPr>
        <w:t>Aghisna</w:t>
      </w:r>
      <w:proofErr w:type="spellEnd"/>
      <w:r w:rsidRPr="00895589">
        <w:rPr>
          <w:sz w:val="20"/>
          <w:szCs w:val="20"/>
          <w:lang w:val="en-US"/>
        </w:rPr>
        <w:t xml:space="preserve"> </w:t>
      </w:r>
      <w:proofErr w:type="spellStart"/>
      <w:r w:rsidRPr="00895589">
        <w:rPr>
          <w:sz w:val="20"/>
          <w:szCs w:val="20"/>
          <w:lang w:val="en-US"/>
        </w:rPr>
        <w:t>Medika</w:t>
      </w:r>
      <w:proofErr w:type="spellEnd"/>
      <w:r w:rsidRPr="00895589">
        <w:rPr>
          <w:sz w:val="20"/>
          <w:szCs w:val="20"/>
          <w:lang w:val="en-US"/>
        </w:rPr>
        <w:t xml:space="preserve"> </w:t>
      </w:r>
      <w:proofErr w:type="spellStart"/>
      <w:r w:rsidRPr="00895589">
        <w:rPr>
          <w:sz w:val="20"/>
          <w:szCs w:val="20"/>
          <w:lang w:val="en-US"/>
        </w:rPr>
        <w:t>Kroya</w:t>
      </w:r>
      <w:proofErr w:type="spellEnd"/>
      <w:r w:rsidRPr="00895589">
        <w:rPr>
          <w:sz w:val="20"/>
          <w:szCs w:val="20"/>
          <w:lang w:val="en-US"/>
        </w:rPr>
        <w:t xml:space="preserve">. </w:t>
      </w:r>
      <w:proofErr w:type="spellStart"/>
      <w:r w:rsidRPr="00895589">
        <w:rPr>
          <w:i/>
          <w:iCs/>
          <w:sz w:val="20"/>
          <w:szCs w:val="20"/>
          <w:lang w:val="en-US"/>
        </w:rPr>
        <w:t>Jurnal</w:t>
      </w:r>
      <w:proofErr w:type="spellEnd"/>
      <w:r w:rsidRPr="00895589">
        <w:rPr>
          <w:i/>
          <w:iCs/>
          <w:sz w:val="20"/>
          <w:szCs w:val="20"/>
          <w:lang w:val="en-US"/>
        </w:rPr>
        <w:t xml:space="preserve"> </w:t>
      </w:r>
      <w:proofErr w:type="spellStart"/>
      <w:r w:rsidRPr="00895589">
        <w:rPr>
          <w:i/>
          <w:iCs/>
          <w:sz w:val="20"/>
          <w:szCs w:val="20"/>
          <w:lang w:val="en-US"/>
        </w:rPr>
        <w:t>Ilmu</w:t>
      </w:r>
      <w:proofErr w:type="spellEnd"/>
      <w:r w:rsidRPr="00895589">
        <w:rPr>
          <w:i/>
          <w:iCs/>
          <w:sz w:val="20"/>
          <w:szCs w:val="20"/>
          <w:lang w:val="en-US"/>
        </w:rPr>
        <w:t xml:space="preserve"> </w:t>
      </w:r>
      <w:proofErr w:type="spellStart"/>
      <w:r w:rsidRPr="00895589">
        <w:rPr>
          <w:i/>
          <w:iCs/>
          <w:sz w:val="20"/>
          <w:szCs w:val="20"/>
          <w:lang w:val="en-US"/>
        </w:rPr>
        <w:t>Kedokteran</w:t>
      </w:r>
      <w:proofErr w:type="spellEnd"/>
      <w:r w:rsidRPr="00895589">
        <w:rPr>
          <w:i/>
          <w:iCs/>
          <w:sz w:val="20"/>
          <w:szCs w:val="20"/>
          <w:lang w:val="en-US"/>
        </w:rPr>
        <w:t xml:space="preserve"> dan Kesehatan, 5</w:t>
      </w:r>
      <w:r w:rsidRPr="00895589">
        <w:rPr>
          <w:sz w:val="20"/>
          <w:szCs w:val="20"/>
          <w:lang w:val="en-US"/>
        </w:rPr>
        <w:t>(1), 1–61.</w:t>
      </w:r>
    </w:p>
    <w:p w14:paraId="53D9DCF6" w14:textId="77777777" w:rsidR="00895589" w:rsidRPr="00895589" w:rsidRDefault="00895589" w:rsidP="00984E2F">
      <w:pPr>
        <w:ind w:left="284" w:hanging="284"/>
        <w:rPr>
          <w:sz w:val="20"/>
          <w:szCs w:val="20"/>
          <w:lang w:val="en-US"/>
        </w:rPr>
      </w:pPr>
      <w:r w:rsidRPr="00895589">
        <w:rPr>
          <w:sz w:val="20"/>
          <w:szCs w:val="20"/>
          <w:lang w:val="en-US"/>
        </w:rPr>
        <w:t xml:space="preserve">Ola, A. T., </w:t>
      </w:r>
      <w:proofErr w:type="spellStart"/>
      <w:r w:rsidRPr="00895589">
        <w:rPr>
          <w:sz w:val="20"/>
          <w:szCs w:val="20"/>
          <w:lang w:val="en-US"/>
        </w:rPr>
        <w:t>Kusumawardani</w:t>
      </w:r>
      <w:proofErr w:type="spellEnd"/>
      <w:r w:rsidRPr="00895589">
        <w:rPr>
          <w:sz w:val="20"/>
          <w:szCs w:val="20"/>
          <w:lang w:val="en-US"/>
        </w:rPr>
        <w:t xml:space="preserve">, S. I., </w:t>
      </w:r>
      <w:proofErr w:type="spellStart"/>
      <w:r w:rsidRPr="00895589">
        <w:rPr>
          <w:sz w:val="20"/>
          <w:szCs w:val="20"/>
          <w:lang w:val="en-US"/>
        </w:rPr>
        <w:t>Anoez</w:t>
      </w:r>
      <w:proofErr w:type="spellEnd"/>
      <w:r w:rsidRPr="00895589">
        <w:rPr>
          <w:sz w:val="20"/>
          <w:szCs w:val="20"/>
          <w:lang w:val="en-US"/>
        </w:rPr>
        <w:t xml:space="preserve">, A., &amp; </w:t>
      </w:r>
      <w:proofErr w:type="spellStart"/>
      <w:r w:rsidRPr="00895589">
        <w:rPr>
          <w:sz w:val="20"/>
          <w:szCs w:val="20"/>
          <w:lang w:val="en-US"/>
        </w:rPr>
        <w:t>Urip</w:t>
      </w:r>
      <w:proofErr w:type="spellEnd"/>
      <w:r w:rsidRPr="00895589">
        <w:rPr>
          <w:sz w:val="20"/>
          <w:szCs w:val="20"/>
          <w:lang w:val="en-US"/>
        </w:rPr>
        <w:t xml:space="preserve">, J. (2024). </w:t>
      </w:r>
      <w:proofErr w:type="spellStart"/>
      <w:r w:rsidRPr="00895589">
        <w:rPr>
          <w:sz w:val="20"/>
          <w:szCs w:val="20"/>
          <w:lang w:val="en-US"/>
        </w:rPr>
        <w:t>Analisis</w:t>
      </w:r>
      <w:proofErr w:type="spellEnd"/>
      <w:r w:rsidRPr="00895589">
        <w:rPr>
          <w:sz w:val="20"/>
          <w:szCs w:val="20"/>
          <w:lang w:val="en-US"/>
        </w:rPr>
        <w:t xml:space="preserve"> </w:t>
      </w:r>
      <w:proofErr w:type="spellStart"/>
      <w:r w:rsidRPr="00895589">
        <w:rPr>
          <w:sz w:val="20"/>
          <w:szCs w:val="20"/>
          <w:lang w:val="en-US"/>
        </w:rPr>
        <w:t>komplikasi</w:t>
      </w:r>
      <w:proofErr w:type="spellEnd"/>
      <w:r w:rsidRPr="00895589">
        <w:rPr>
          <w:sz w:val="20"/>
          <w:szCs w:val="20"/>
          <w:lang w:val="en-US"/>
        </w:rPr>
        <w:t xml:space="preserve"> </w:t>
      </w:r>
      <w:proofErr w:type="spellStart"/>
      <w:r w:rsidRPr="00895589">
        <w:rPr>
          <w:sz w:val="20"/>
          <w:szCs w:val="20"/>
          <w:lang w:val="en-US"/>
        </w:rPr>
        <w:t>operasi</w:t>
      </w:r>
      <w:proofErr w:type="spellEnd"/>
      <w:r w:rsidRPr="00895589">
        <w:rPr>
          <w:sz w:val="20"/>
          <w:szCs w:val="20"/>
          <w:lang w:val="en-US"/>
        </w:rPr>
        <w:t xml:space="preserve"> </w:t>
      </w:r>
      <w:proofErr w:type="spellStart"/>
      <w:r w:rsidRPr="00895589">
        <w:rPr>
          <w:sz w:val="20"/>
          <w:szCs w:val="20"/>
          <w:lang w:val="en-US"/>
        </w:rPr>
        <w:t>katarak</w:t>
      </w:r>
      <w:proofErr w:type="spellEnd"/>
      <w:r w:rsidRPr="00895589">
        <w:rPr>
          <w:sz w:val="20"/>
          <w:szCs w:val="20"/>
          <w:lang w:val="en-US"/>
        </w:rPr>
        <w:t xml:space="preserve"> </w:t>
      </w:r>
      <w:proofErr w:type="spellStart"/>
      <w:r w:rsidRPr="00895589">
        <w:rPr>
          <w:sz w:val="20"/>
          <w:szCs w:val="20"/>
          <w:lang w:val="en-US"/>
        </w:rPr>
        <w:t>terhadap</w:t>
      </w:r>
      <w:proofErr w:type="spellEnd"/>
      <w:r w:rsidRPr="00895589">
        <w:rPr>
          <w:sz w:val="20"/>
          <w:szCs w:val="20"/>
          <w:lang w:val="en-US"/>
        </w:rPr>
        <w:t xml:space="preserve"> </w:t>
      </w:r>
      <w:proofErr w:type="spellStart"/>
      <w:r w:rsidRPr="00895589">
        <w:rPr>
          <w:sz w:val="20"/>
          <w:szCs w:val="20"/>
          <w:lang w:val="en-US"/>
        </w:rPr>
        <w:t>pasien</w:t>
      </w:r>
      <w:proofErr w:type="spellEnd"/>
      <w:r w:rsidRPr="00895589">
        <w:rPr>
          <w:sz w:val="20"/>
          <w:szCs w:val="20"/>
          <w:lang w:val="en-US"/>
        </w:rPr>
        <w:t xml:space="preserve"> </w:t>
      </w:r>
      <w:proofErr w:type="spellStart"/>
      <w:r w:rsidRPr="00895589">
        <w:rPr>
          <w:sz w:val="20"/>
          <w:szCs w:val="20"/>
          <w:lang w:val="en-US"/>
        </w:rPr>
        <w:t>katarak</w:t>
      </w:r>
      <w:proofErr w:type="spellEnd"/>
      <w:r w:rsidRPr="00895589">
        <w:rPr>
          <w:sz w:val="20"/>
          <w:szCs w:val="20"/>
          <w:lang w:val="en-US"/>
        </w:rPr>
        <w:t xml:space="preserve">. </w:t>
      </w:r>
      <w:proofErr w:type="spellStart"/>
      <w:r w:rsidRPr="00895589">
        <w:rPr>
          <w:i/>
          <w:iCs/>
          <w:sz w:val="20"/>
          <w:szCs w:val="20"/>
          <w:lang w:val="en-US"/>
        </w:rPr>
        <w:t>Jurnal</w:t>
      </w:r>
      <w:proofErr w:type="spellEnd"/>
      <w:r w:rsidRPr="00895589">
        <w:rPr>
          <w:i/>
          <w:iCs/>
          <w:sz w:val="20"/>
          <w:szCs w:val="20"/>
          <w:lang w:val="en-US"/>
        </w:rPr>
        <w:t xml:space="preserve"> Kesehatan Amanah, 8</w:t>
      </w:r>
      <w:r w:rsidRPr="00895589">
        <w:rPr>
          <w:sz w:val="20"/>
          <w:szCs w:val="20"/>
          <w:lang w:val="en-US"/>
        </w:rPr>
        <w:t xml:space="preserve">(3), 313–321. </w:t>
      </w:r>
      <w:hyperlink r:id="rId27" w:history="1">
        <w:r w:rsidRPr="00895589">
          <w:rPr>
            <w:rStyle w:val="Hyperlink"/>
            <w:sz w:val="20"/>
            <w:szCs w:val="20"/>
          </w:rPr>
          <w:t>https://doi.org/10.57214/jka.v8i1.757</w:t>
        </w:r>
      </w:hyperlink>
      <w:r w:rsidRPr="00895589">
        <w:rPr>
          <w:sz w:val="20"/>
          <w:szCs w:val="20"/>
          <w:lang w:val="en-US"/>
        </w:rPr>
        <w:t>.</w:t>
      </w:r>
    </w:p>
    <w:p w14:paraId="67FEB82F" w14:textId="77777777" w:rsidR="00895589" w:rsidRPr="00895589" w:rsidRDefault="00895589" w:rsidP="00984E2F">
      <w:pPr>
        <w:ind w:left="284" w:hanging="284"/>
        <w:rPr>
          <w:sz w:val="20"/>
          <w:szCs w:val="20"/>
          <w:lang w:val="en-US"/>
        </w:rPr>
      </w:pPr>
      <w:proofErr w:type="spellStart"/>
      <w:r w:rsidRPr="00895589">
        <w:rPr>
          <w:sz w:val="20"/>
          <w:szCs w:val="20"/>
        </w:rPr>
        <w:t>Pabuntang</w:t>
      </w:r>
      <w:proofErr w:type="spellEnd"/>
      <w:r w:rsidRPr="00895589">
        <w:rPr>
          <w:sz w:val="20"/>
          <w:szCs w:val="20"/>
        </w:rPr>
        <w:t xml:space="preserve">, D. S. (2022). </w:t>
      </w:r>
      <w:proofErr w:type="spellStart"/>
      <w:r w:rsidRPr="00895589">
        <w:rPr>
          <w:i/>
          <w:iCs/>
          <w:sz w:val="20"/>
          <w:szCs w:val="20"/>
        </w:rPr>
        <w:t>Karakteristik</w:t>
      </w:r>
      <w:proofErr w:type="spellEnd"/>
      <w:r w:rsidRPr="00895589">
        <w:rPr>
          <w:i/>
          <w:iCs/>
          <w:sz w:val="20"/>
          <w:szCs w:val="20"/>
        </w:rPr>
        <w:t xml:space="preserve"> </w:t>
      </w:r>
      <w:proofErr w:type="spellStart"/>
      <w:r w:rsidRPr="00895589">
        <w:rPr>
          <w:i/>
          <w:iCs/>
          <w:sz w:val="20"/>
          <w:szCs w:val="20"/>
        </w:rPr>
        <w:t>kejadian</w:t>
      </w:r>
      <w:proofErr w:type="spellEnd"/>
      <w:r w:rsidRPr="00895589">
        <w:rPr>
          <w:i/>
          <w:iCs/>
          <w:sz w:val="20"/>
          <w:szCs w:val="20"/>
        </w:rPr>
        <w:t xml:space="preserve"> </w:t>
      </w:r>
      <w:proofErr w:type="spellStart"/>
      <w:r w:rsidRPr="00895589">
        <w:rPr>
          <w:i/>
          <w:iCs/>
          <w:sz w:val="20"/>
          <w:szCs w:val="20"/>
        </w:rPr>
        <w:t>katarak</w:t>
      </w:r>
      <w:proofErr w:type="spellEnd"/>
      <w:r w:rsidRPr="00895589">
        <w:rPr>
          <w:i/>
          <w:iCs/>
          <w:sz w:val="20"/>
          <w:szCs w:val="20"/>
        </w:rPr>
        <w:t xml:space="preserve"> di </w:t>
      </w:r>
      <w:proofErr w:type="spellStart"/>
      <w:r w:rsidRPr="00895589">
        <w:rPr>
          <w:i/>
          <w:iCs/>
          <w:sz w:val="20"/>
          <w:szCs w:val="20"/>
        </w:rPr>
        <w:t>bagian</w:t>
      </w:r>
      <w:proofErr w:type="spellEnd"/>
      <w:r w:rsidRPr="00895589">
        <w:rPr>
          <w:i/>
          <w:iCs/>
          <w:sz w:val="20"/>
          <w:szCs w:val="20"/>
        </w:rPr>
        <w:t xml:space="preserve"> </w:t>
      </w:r>
      <w:proofErr w:type="spellStart"/>
      <w:r w:rsidRPr="00895589">
        <w:rPr>
          <w:i/>
          <w:iCs/>
          <w:sz w:val="20"/>
          <w:szCs w:val="20"/>
        </w:rPr>
        <w:t>mata</w:t>
      </w:r>
      <w:proofErr w:type="spellEnd"/>
      <w:r w:rsidRPr="00895589">
        <w:rPr>
          <w:i/>
          <w:iCs/>
          <w:sz w:val="20"/>
          <w:szCs w:val="20"/>
        </w:rPr>
        <w:t xml:space="preserve"> </w:t>
      </w:r>
      <w:proofErr w:type="spellStart"/>
      <w:r w:rsidRPr="00895589">
        <w:rPr>
          <w:i/>
          <w:iCs/>
          <w:sz w:val="20"/>
          <w:szCs w:val="20"/>
        </w:rPr>
        <w:t>Rumah</w:t>
      </w:r>
      <w:proofErr w:type="spellEnd"/>
      <w:r w:rsidRPr="00895589">
        <w:rPr>
          <w:i/>
          <w:iCs/>
          <w:sz w:val="20"/>
          <w:szCs w:val="20"/>
        </w:rPr>
        <w:t xml:space="preserve"> </w:t>
      </w:r>
      <w:proofErr w:type="spellStart"/>
      <w:r w:rsidRPr="00895589">
        <w:rPr>
          <w:i/>
          <w:iCs/>
          <w:sz w:val="20"/>
          <w:szCs w:val="20"/>
        </w:rPr>
        <w:t>Sakit</w:t>
      </w:r>
      <w:proofErr w:type="spellEnd"/>
      <w:r w:rsidRPr="00895589">
        <w:rPr>
          <w:i/>
          <w:iCs/>
          <w:sz w:val="20"/>
          <w:szCs w:val="20"/>
        </w:rPr>
        <w:t xml:space="preserve"> </w:t>
      </w:r>
      <w:proofErr w:type="spellStart"/>
      <w:r w:rsidRPr="00895589">
        <w:rPr>
          <w:i/>
          <w:iCs/>
          <w:sz w:val="20"/>
          <w:szCs w:val="20"/>
        </w:rPr>
        <w:t>Umum</w:t>
      </w:r>
      <w:proofErr w:type="spellEnd"/>
      <w:r w:rsidRPr="00895589">
        <w:rPr>
          <w:i/>
          <w:iCs/>
          <w:sz w:val="20"/>
          <w:szCs w:val="20"/>
        </w:rPr>
        <w:t xml:space="preserve"> Daerah (RSUD) </w:t>
      </w:r>
      <w:proofErr w:type="spellStart"/>
      <w:r w:rsidRPr="00895589">
        <w:rPr>
          <w:i/>
          <w:iCs/>
          <w:sz w:val="20"/>
          <w:szCs w:val="20"/>
        </w:rPr>
        <w:t>Lakipadada</w:t>
      </w:r>
      <w:proofErr w:type="spellEnd"/>
      <w:r w:rsidRPr="00895589">
        <w:rPr>
          <w:i/>
          <w:iCs/>
          <w:sz w:val="20"/>
          <w:szCs w:val="20"/>
        </w:rPr>
        <w:t xml:space="preserve"> Tana </w:t>
      </w:r>
      <w:proofErr w:type="spellStart"/>
      <w:r w:rsidRPr="00895589">
        <w:rPr>
          <w:i/>
          <w:iCs/>
          <w:sz w:val="20"/>
          <w:szCs w:val="20"/>
        </w:rPr>
        <w:t>Toraja</w:t>
      </w:r>
      <w:proofErr w:type="spellEnd"/>
      <w:r w:rsidRPr="00895589">
        <w:rPr>
          <w:i/>
          <w:iCs/>
          <w:sz w:val="20"/>
          <w:szCs w:val="20"/>
        </w:rPr>
        <w:t xml:space="preserve"> </w:t>
      </w:r>
      <w:proofErr w:type="spellStart"/>
      <w:r w:rsidRPr="00895589">
        <w:rPr>
          <w:i/>
          <w:iCs/>
          <w:sz w:val="20"/>
          <w:szCs w:val="20"/>
        </w:rPr>
        <w:t>tahun</w:t>
      </w:r>
      <w:proofErr w:type="spellEnd"/>
      <w:r w:rsidRPr="00895589">
        <w:rPr>
          <w:i/>
          <w:iCs/>
          <w:sz w:val="20"/>
          <w:szCs w:val="20"/>
        </w:rPr>
        <w:t xml:space="preserve"> 2019–2020</w:t>
      </w:r>
      <w:r w:rsidRPr="00895589">
        <w:rPr>
          <w:sz w:val="20"/>
          <w:szCs w:val="20"/>
        </w:rPr>
        <w:t>. Makassar: Universitas Hasanuddin (Bachelor thesis).</w:t>
      </w:r>
    </w:p>
    <w:p w14:paraId="31ECD5B7" w14:textId="77777777" w:rsidR="00895589" w:rsidRPr="00895589" w:rsidRDefault="00895589" w:rsidP="00984E2F">
      <w:pPr>
        <w:ind w:left="284" w:hanging="284"/>
        <w:rPr>
          <w:sz w:val="20"/>
          <w:szCs w:val="20"/>
        </w:rPr>
      </w:pPr>
      <w:r w:rsidRPr="00895589">
        <w:rPr>
          <w:sz w:val="20"/>
          <w:szCs w:val="20"/>
          <w:lang w:val="en-US"/>
        </w:rPr>
        <w:t xml:space="preserve">Pollmann, A. S., Trong, M., Nguyen, D., </w:t>
      </w:r>
      <w:proofErr w:type="spellStart"/>
      <w:r w:rsidRPr="00895589">
        <w:rPr>
          <w:sz w:val="20"/>
          <w:szCs w:val="20"/>
          <w:lang w:val="en-US"/>
        </w:rPr>
        <w:t>Keyeutat</w:t>
      </w:r>
      <w:proofErr w:type="spellEnd"/>
      <w:r w:rsidRPr="00895589">
        <w:rPr>
          <w:sz w:val="20"/>
          <w:szCs w:val="20"/>
          <w:lang w:val="en-US"/>
        </w:rPr>
        <w:t xml:space="preserve">, M., Danis, É., &amp; Durr, G. M. (2024). Refractive outcomes of immediately sequential bilateral cataract surgery in eyes with long and short axial lengths. </w:t>
      </w:r>
      <w:r w:rsidRPr="00895589">
        <w:rPr>
          <w:i/>
          <w:iCs/>
          <w:sz w:val="20"/>
          <w:szCs w:val="20"/>
          <w:lang w:val="en-US"/>
        </w:rPr>
        <w:t>BMC Ophthalmology, 24</w:t>
      </w:r>
      <w:r w:rsidRPr="00895589">
        <w:rPr>
          <w:sz w:val="20"/>
          <w:szCs w:val="20"/>
          <w:lang w:val="en-US"/>
        </w:rPr>
        <w:t xml:space="preserve">(1), 1–7. </w:t>
      </w:r>
      <w:hyperlink r:id="rId28" w:history="1">
        <w:r w:rsidRPr="00895589">
          <w:rPr>
            <w:rStyle w:val="Hyperlink"/>
            <w:sz w:val="20"/>
            <w:szCs w:val="20"/>
          </w:rPr>
          <w:t>https://doi.org/10.1186/s12886-024-03347-3</w:t>
        </w:r>
      </w:hyperlink>
      <w:r w:rsidRPr="00895589">
        <w:rPr>
          <w:sz w:val="20"/>
          <w:szCs w:val="20"/>
        </w:rPr>
        <w:t>.</w:t>
      </w:r>
    </w:p>
    <w:p w14:paraId="65CFA3DF" w14:textId="77777777" w:rsidR="00895589" w:rsidRPr="00895589" w:rsidRDefault="00895589" w:rsidP="00984E2F">
      <w:pPr>
        <w:ind w:left="284" w:hanging="284"/>
        <w:rPr>
          <w:sz w:val="20"/>
          <w:szCs w:val="20"/>
        </w:rPr>
      </w:pPr>
      <w:r w:rsidRPr="00895589">
        <w:rPr>
          <w:sz w:val="20"/>
          <w:szCs w:val="20"/>
        </w:rPr>
        <w:t xml:space="preserve">Pradana, N. A. (2024). </w:t>
      </w:r>
      <w:proofErr w:type="spellStart"/>
      <w:r w:rsidRPr="00895589">
        <w:rPr>
          <w:i/>
          <w:iCs/>
          <w:sz w:val="20"/>
          <w:szCs w:val="20"/>
        </w:rPr>
        <w:t>Hubungan</w:t>
      </w:r>
      <w:proofErr w:type="spellEnd"/>
      <w:r w:rsidRPr="00895589">
        <w:rPr>
          <w:i/>
          <w:iCs/>
          <w:sz w:val="20"/>
          <w:szCs w:val="20"/>
        </w:rPr>
        <w:t xml:space="preserve"> </w:t>
      </w:r>
      <w:proofErr w:type="spellStart"/>
      <w:r w:rsidRPr="00895589">
        <w:rPr>
          <w:i/>
          <w:iCs/>
          <w:sz w:val="20"/>
          <w:szCs w:val="20"/>
        </w:rPr>
        <w:t>durasi</w:t>
      </w:r>
      <w:proofErr w:type="spellEnd"/>
      <w:r w:rsidRPr="00895589">
        <w:rPr>
          <w:i/>
          <w:iCs/>
          <w:sz w:val="20"/>
          <w:szCs w:val="20"/>
        </w:rPr>
        <w:t xml:space="preserve"> </w:t>
      </w:r>
      <w:proofErr w:type="spellStart"/>
      <w:r w:rsidRPr="00895589">
        <w:rPr>
          <w:i/>
          <w:iCs/>
          <w:sz w:val="20"/>
          <w:szCs w:val="20"/>
        </w:rPr>
        <w:t>penggunaan</w:t>
      </w:r>
      <w:proofErr w:type="spellEnd"/>
      <w:r w:rsidRPr="00895589">
        <w:rPr>
          <w:i/>
          <w:iCs/>
          <w:sz w:val="20"/>
          <w:szCs w:val="20"/>
        </w:rPr>
        <w:t xml:space="preserve"> smartphone </w:t>
      </w:r>
      <w:proofErr w:type="spellStart"/>
      <w:r w:rsidRPr="00895589">
        <w:rPr>
          <w:i/>
          <w:iCs/>
          <w:sz w:val="20"/>
          <w:szCs w:val="20"/>
        </w:rPr>
        <w:t>dengan</w:t>
      </w:r>
      <w:proofErr w:type="spellEnd"/>
      <w:r w:rsidRPr="00895589">
        <w:rPr>
          <w:i/>
          <w:iCs/>
          <w:sz w:val="20"/>
          <w:szCs w:val="20"/>
        </w:rPr>
        <w:t xml:space="preserve"> </w:t>
      </w:r>
      <w:proofErr w:type="spellStart"/>
      <w:r w:rsidRPr="00895589">
        <w:rPr>
          <w:i/>
          <w:iCs/>
          <w:sz w:val="20"/>
          <w:szCs w:val="20"/>
        </w:rPr>
        <w:t>keluhan</w:t>
      </w:r>
      <w:proofErr w:type="spellEnd"/>
      <w:r w:rsidRPr="00895589">
        <w:rPr>
          <w:i/>
          <w:iCs/>
          <w:sz w:val="20"/>
          <w:szCs w:val="20"/>
        </w:rPr>
        <w:t xml:space="preserve"> </w:t>
      </w:r>
      <w:proofErr w:type="spellStart"/>
      <w:r w:rsidRPr="00895589">
        <w:rPr>
          <w:i/>
          <w:iCs/>
          <w:sz w:val="20"/>
          <w:szCs w:val="20"/>
        </w:rPr>
        <w:t>mata</w:t>
      </w:r>
      <w:proofErr w:type="spellEnd"/>
      <w:r w:rsidRPr="00895589">
        <w:rPr>
          <w:i/>
          <w:iCs/>
          <w:sz w:val="20"/>
          <w:szCs w:val="20"/>
        </w:rPr>
        <w:t xml:space="preserve"> </w:t>
      </w:r>
      <w:proofErr w:type="spellStart"/>
      <w:r w:rsidRPr="00895589">
        <w:rPr>
          <w:i/>
          <w:iCs/>
          <w:sz w:val="20"/>
          <w:szCs w:val="20"/>
        </w:rPr>
        <w:t>kering</w:t>
      </w:r>
      <w:proofErr w:type="spellEnd"/>
      <w:r w:rsidRPr="00895589">
        <w:rPr>
          <w:i/>
          <w:iCs/>
          <w:sz w:val="20"/>
          <w:szCs w:val="20"/>
        </w:rPr>
        <w:t xml:space="preserve"> </w:t>
      </w:r>
      <w:proofErr w:type="spellStart"/>
      <w:r w:rsidRPr="00895589">
        <w:rPr>
          <w:i/>
          <w:iCs/>
          <w:sz w:val="20"/>
          <w:szCs w:val="20"/>
        </w:rPr>
        <w:t>menggunakan</w:t>
      </w:r>
      <w:proofErr w:type="spellEnd"/>
      <w:r w:rsidRPr="00895589">
        <w:rPr>
          <w:i/>
          <w:iCs/>
          <w:sz w:val="20"/>
          <w:szCs w:val="20"/>
        </w:rPr>
        <w:t xml:space="preserve"> </w:t>
      </w:r>
      <w:proofErr w:type="spellStart"/>
      <w:r w:rsidRPr="00895589">
        <w:rPr>
          <w:i/>
          <w:iCs/>
          <w:sz w:val="20"/>
          <w:szCs w:val="20"/>
        </w:rPr>
        <w:t>kuesioner</w:t>
      </w:r>
      <w:proofErr w:type="spellEnd"/>
      <w:r w:rsidRPr="00895589">
        <w:rPr>
          <w:i/>
          <w:iCs/>
          <w:sz w:val="20"/>
          <w:szCs w:val="20"/>
        </w:rPr>
        <w:t xml:space="preserve"> OSDI pada </w:t>
      </w:r>
      <w:proofErr w:type="spellStart"/>
      <w:r w:rsidRPr="00895589">
        <w:rPr>
          <w:i/>
          <w:iCs/>
          <w:sz w:val="20"/>
          <w:szCs w:val="20"/>
        </w:rPr>
        <w:t>mahasiswa</w:t>
      </w:r>
      <w:proofErr w:type="spellEnd"/>
      <w:r w:rsidRPr="00895589">
        <w:rPr>
          <w:i/>
          <w:iCs/>
          <w:sz w:val="20"/>
          <w:szCs w:val="20"/>
        </w:rPr>
        <w:t xml:space="preserve"> Program </w:t>
      </w:r>
      <w:proofErr w:type="spellStart"/>
      <w:r w:rsidRPr="00895589">
        <w:rPr>
          <w:i/>
          <w:iCs/>
          <w:sz w:val="20"/>
          <w:szCs w:val="20"/>
        </w:rPr>
        <w:t>Studi</w:t>
      </w:r>
      <w:proofErr w:type="spellEnd"/>
      <w:r w:rsidRPr="00895589">
        <w:rPr>
          <w:i/>
          <w:iCs/>
          <w:sz w:val="20"/>
          <w:szCs w:val="20"/>
        </w:rPr>
        <w:t xml:space="preserve"> Pendidikan Dokter Universitas Islam Negeri Maulana Malik Ibrahim Malang</w:t>
      </w:r>
      <w:r w:rsidRPr="00895589">
        <w:rPr>
          <w:sz w:val="20"/>
          <w:szCs w:val="20"/>
        </w:rPr>
        <w:t>. Malang: Universitas Islam Negeri Maulana Malik Ibrahim (Doctoral dissertation).</w:t>
      </w:r>
    </w:p>
    <w:p w14:paraId="69CE8C68" w14:textId="77777777" w:rsidR="00895589" w:rsidRPr="00895589" w:rsidRDefault="00895589" w:rsidP="00984E2F">
      <w:pPr>
        <w:ind w:left="284" w:hanging="284"/>
        <w:rPr>
          <w:sz w:val="20"/>
          <w:szCs w:val="20"/>
          <w:lang w:val="en-US"/>
        </w:rPr>
      </w:pPr>
      <w:proofErr w:type="spellStart"/>
      <w:r w:rsidRPr="00895589">
        <w:rPr>
          <w:sz w:val="20"/>
          <w:szCs w:val="20"/>
          <w:lang w:val="en-US"/>
        </w:rPr>
        <w:t>Praja</w:t>
      </w:r>
      <w:proofErr w:type="spellEnd"/>
      <w:r w:rsidRPr="00895589">
        <w:rPr>
          <w:sz w:val="20"/>
          <w:szCs w:val="20"/>
          <w:lang w:val="en-US"/>
        </w:rPr>
        <w:t xml:space="preserve">, I. S., </w:t>
      </w:r>
      <w:proofErr w:type="spellStart"/>
      <w:r w:rsidRPr="00895589">
        <w:rPr>
          <w:sz w:val="20"/>
          <w:szCs w:val="20"/>
          <w:lang w:val="en-US"/>
        </w:rPr>
        <w:t>Hendriati</w:t>
      </w:r>
      <w:proofErr w:type="spellEnd"/>
      <w:r w:rsidRPr="00895589">
        <w:rPr>
          <w:sz w:val="20"/>
          <w:szCs w:val="20"/>
          <w:lang w:val="en-US"/>
        </w:rPr>
        <w:t xml:space="preserve">, H., &amp; Machmud, R. (2023). </w:t>
      </w:r>
      <w:proofErr w:type="spellStart"/>
      <w:r w:rsidRPr="00895589">
        <w:rPr>
          <w:sz w:val="20"/>
          <w:szCs w:val="20"/>
          <w:lang w:val="en-US"/>
        </w:rPr>
        <w:t>Hubungan</w:t>
      </w:r>
      <w:proofErr w:type="spellEnd"/>
      <w:r w:rsidRPr="00895589">
        <w:rPr>
          <w:sz w:val="20"/>
          <w:szCs w:val="20"/>
          <w:lang w:val="en-US"/>
        </w:rPr>
        <w:t xml:space="preserve"> </w:t>
      </w:r>
      <w:proofErr w:type="spellStart"/>
      <w:r w:rsidRPr="00895589">
        <w:rPr>
          <w:sz w:val="20"/>
          <w:szCs w:val="20"/>
          <w:lang w:val="en-US"/>
        </w:rPr>
        <w:t>faktor</w:t>
      </w:r>
      <w:proofErr w:type="spellEnd"/>
      <w:r w:rsidRPr="00895589">
        <w:rPr>
          <w:sz w:val="20"/>
          <w:szCs w:val="20"/>
          <w:lang w:val="en-US"/>
        </w:rPr>
        <w:t xml:space="preserve"> </w:t>
      </w:r>
      <w:proofErr w:type="spellStart"/>
      <w:r w:rsidRPr="00895589">
        <w:rPr>
          <w:sz w:val="20"/>
          <w:szCs w:val="20"/>
          <w:lang w:val="en-US"/>
        </w:rPr>
        <w:t>risiko</w:t>
      </w:r>
      <w:proofErr w:type="spellEnd"/>
      <w:r w:rsidRPr="00895589">
        <w:rPr>
          <w:sz w:val="20"/>
          <w:szCs w:val="20"/>
          <w:lang w:val="en-US"/>
        </w:rPr>
        <w:t xml:space="preserve"> </w:t>
      </w:r>
      <w:proofErr w:type="spellStart"/>
      <w:r w:rsidRPr="00895589">
        <w:rPr>
          <w:sz w:val="20"/>
          <w:szCs w:val="20"/>
          <w:lang w:val="en-US"/>
        </w:rPr>
        <w:t>dengan</w:t>
      </w:r>
      <w:proofErr w:type="spellEnd"/>
      <w:r w:rsidRPr="00895589">
        <w:rPr>
          <w:sz w:val="20"/>
          <w:szCs w:val="20"/>
          <w:lang w:val="en-US"/>
        </w:rPr>
        <w:t xml:space="preserve"> </w:t>
      </w:r>
      <w:proofErr w:type="spellStart"/>
      <w:r w:rsidRPr="00895589">
        <w:rPr>
          <w:sz w:val="20"/>
          <w:szCs w:val="20"/>
          <w:lang w:val="en-US"/>
        </w:rPr>
        <w:t>kejadian</w:t>
      </w:r>
      <w:proofErr w:type="spellEnd"/>
      <w:r w:rsidRPr="00895589">
        <w:rPr>
          <w:sz w:val="20"/>
          <w:szCs w:val="20"/>
          <w:lang w:val="en-US"/>
        </w:rPr>
        <w:t xml:space="preserve"> </w:t>
      </w:r>
      <w:proofErr w:type="spellStart"/>
      <w:r w:rsidRPr="00895589">
        <w:rPr>
          <w:sz w:val="20"/>
          <w:szCs w:val="20"/>
          <w:lang w:val="en-US"/>
        </w:rPr>
        <w:t>katarak</w:t>
      </w:r>
      <w:proofErr w:type="spellEnd"/>
      <w:r w:rsidRPr="00895589">
        <w:rPr>
          <w:sz w:val="20"/>
          <w:szCs w:val="20"/>
          <w:lang w:val="en-US"/>
        </w:rPr>
        <w:t xml:space="preserve"> senilis di RSUP Dr. M. </w:t>
      </w:r>
      <w:proofErr w:type="spellStart"/>
      <w:r w:rsidRPr="00895589">
        <w:rPr>
          <w:sz w:val="20"/>
          <w:szCs w:val="20"/>
          <w:lang w:val="en-US"/>
        </w:rPr>
        <w:t>Djamil</w:t>
      </w:r>
      <w:proofErr w:type="spellEnd"/>
      <w:r w:rsidRPr="00895589">
        <w:rPr>
          <w:sz w:val="20"/>
          <w:szCs w:val="20"/>
          <w:lang w:val="en-US"/>
        </w:rPr>
        <w:t xml:space="preserve"> Padang. </w:t>
      </w:r>
      <w:proofErr w:type="spellStart"/>
      <w:r w:rsidRPr="00895589">
        <w:rPr>
          <w:i/>
          <w:iCs/>
          <w:sz w:val="20"/>
          <w:szCs w:val="20"/>
          <w:lang w:val="en-US"/>
        </w:rPr>
        <w:t>Jurnal</w:t>
      </w:r>
      <w:proofErr w:type="spellEnd"/>
      <w:r w:rsidRPr="00895589">
        <w:rPr>
          <w:i/>
          <w:iCs/>
          <w:sz w:val="20"/>
          <w:szCs w:val="20"/>
          <w:lang w:val="en-US"/>
        </w:rPr>
        <w:t xml:space="preserve"> </w:t>
      </w:r>
      <w:proofErr w:type="spellStart"/>
      <w:r w:rsidRPr="00895589">
        <w:rPr>
          <w:i/>
          <w:iCs/>
          <w:sz w:val="20"/>
          <w:szCs w:val="20"/>
          <w:lang w:val="en-US"/>
        </w:rPr>
        <w:t>Ilmu</w:t>
      </w:r>
      <w:proofErr w:type="spellEnd"/>
      <w:r w:rsidRPr="00895589">
        <w:rPr>
          <w:i/>
          <w:iCs/>
          <w:sz w:val="20"/>
          <w:szCs w:val="20"/>
          <w:lang w:val="en-US"/>
        </w:rPr>
        <w:t xml:space="preserve"> Kesehatan Indonesia, 4</w:t>
      </w:r>
      <w:r w:rsidRPr="00895589">
        <w:rPr>
          <w:sz w:val="20"/>
          <w:szCs w:val="20"/>
          <w:lang w:val="en-US"/>
        </w:rPr>
        <w:t>(1), 25–32.</w:t>
      </w:r>
    </w:p>
    <w:p w14:paraId="33ED6F4A" w14:textId="77777777" w:rsidR="00895589" w:rsidRPr="00895589" w:rsidRDefault="00895589" w:rsidP="00984E2F">
      <w:pPr>
        <w:ind w:left="284" w:hanging="284"/>
        <w:rPr>
          <w:sz w:val="20"/>
          <w:szCs w:val="20"/>
          <w:lang w:val="en-US"/>
        </w:rPr>
      </w:pPr>
      <w:r w:rsidRPr="00895589">
        <w:rPr>
          <w:sz w:val="20"/>
          <w:szCs w:val="20"/>
        </w:rPr>
        <w:t>Pratama, Y. (2024). </w:t>
      </w:r>
      <w:proofErr w:type="spellStart"/>
      <w:r w:rsidRPr="00895589">
        <w:rPr>
          <w:i/>
          <w:iCs/>
          <w:sz w:val="20"/>
          <w:szCs w:val="20"/>
        </w:rPr>
        <w:t>Hubungan</w:t>
      </w:r>
      <w:proofErr w:type="spellEnd"/>
      <w:r w:rsidRPr="00895589">
        <w:rPr>
          <w:i/>
          <w:iCs/>
          <w:sz w:val="20"/>
          <w:szCs w:val="20"/>
        </w:rPr>
        <w:t xml:space="preserve"> axial length </w:t>
      </w:r>
      <w:proofErr w:type="spellStart"/>
      <w:r w:rsidRPr="00895589">
        <w:rPr>
          <w:i/>
          <w:iCs/>
          <w:sz w:val="20"/>
          <w:szCs w:val="20"/>
        </w:rPr>
        <w:t>dengan</w:t>
      </w:r>
      <w:proofErr w:type="spellEnd"/>
      <w:r w:rsidRPr="00895589">
        <w:rPr>
          <w:i/>
          <w:iCs/>
          <w:sz w:val="20"/>
          <w:szCs w:val="20"/>
        </w:rPr>
        <w:t xml:space="preserve"> central corneal thickness pada </w:t>
      </w:r>
      <w:proofErr w:type="spellStart"/>
      <w:r w:rsidRPr="00895589">
        <w:rPr>
          <w:i/>
          <w:iCs/>
          <w:sz w:val="20"/>
          <w:szCs w:val="20"/>
        </w:rPr>
        <w:t>miopia</w:t>
      </w:r>
      <w:proofErr w:type="spellEnd"/>
      <w:r w:rsidRPr="00895589">
        <w:rPr>
          <w:i/>
          <w:iCs/>
          <w:sz w:val="20"/>
          <w:szCs w:val="20"/>
        </w:rPr>
        <w:t xml:space="preserve"> di </w:t>
      </w:r>
      <w:proofErr w:type="spellStart"/>
      <w:r w:rsidRPr="00895589">
        <w:rPr>
          <w:i/>
          <w:iCs/>
          <w:sz w:val="20"/>
          <w:szCs w:val="20"/>
        </w:rPr>
        <w:t>suku</w:t>
      </w:r>
      <w:proofErr w:type="spellEnd"/>
      <w:r w:rsidRPr="00895589">
        <w:rPr>
          <w:i/>
          <w:iCs/>
          <w:sz w:val="20"/>
          <w:szCs w:val="20"/>
        </w:rPr>
        <w:t xml:space="preserve"> </w:t>
      </w:r>
      <w:proofErr w:type="spellStart"/>
      <w:r w:rsidRPr="00895589">
        <w:rPr>
          <w:i/>
          <w:iCs/>
          <w:sz w:val="20"/>
          <w:szCs w:val="20"/>
        </w:rPr>
        <w:t>minang</w:t>
      </w:r>
      <w:proofErr w:type="spellEnd"/>
      <w:r w:rsidRPr="00895589">
        <w:rPr>
          <w:sz w:val="20"/>
          <w:szCs w:val="20"/>
        </w:rPr>
        <w:t>. Padang: Universitas Andalas (Doctoral dissertation).</w:t>
      </w:r>
    </w:p>
    <w:p w14:paraId="36D326E0" w14:textId="77777777" w:rsidR="00895589" w:rsidRPr="00895589" w:rsidRDefault="00895589" w:rsidP="00984E2F">
      <w:pPr>
        <w:ind w:left="284" w:hanging="284"/>
        <w:rPr>
          <w:sz w:val="20"/>
          <w:szCs w:val="20"/>
          <w:lang w:val="en-US"/>
        </w:rPr>
      </w:pPr>
      <w:proofErr w:type="spellStart"/>
      <w:r w:rsidRPr="00895589">
        <w:rPr>
          <w:sz w:val="20"/>
          <w:szCs w:val="20"/>
        </w:rPr>
        <w:t>Retnosari</w:t>
      </w:r>
      <w:proofErr w:type="spellEnd"/>
      <w:r w:rsidRPr="00895589">
        <w:rPr>
          <w:sz w:val="20"/>
          <w:szCs w:val="20"/>
        </w:rPr>
        <w:t xml:space="preserve">, P. A. (2024). </w:t>
      </w:r>
      <w:proofErr w:type="spellStart"/>
      <w:r w:rsidRPr="00895589">
        <w:rPr>
          <w:i/>
          <w:iCs/>
          <w:sz w:val="20"/>
          <w:szCs w:val="20"/>
        </w:rPr>
        <w:t>Hubungan</w:t>
      </w:r>
      <w:proofErr w:type="spellEnd"/>
      <w:r w:rsidRPr="00895589">
        <w:rPr>
          <w:i/>
          <w:iCs/>
          <w:sz w:val="20"/>
          <w:szCs w:val="20"/>
        </w:rPr>
        <w:t xml:space="preserve"> </w:t>
      </w:r>
      <w:proofErr w:type="spellStart"/>
      <w:r w:rsidRPr="00895589">
        <w:rPr>
          <w:i/>
          <w:iCs/>
          <w:sz w:val="20"/>
          <w:szCs w:val="20"/>
        </w:rPr>
        <w:t>usia</w:t>
      </w:r>
      <w:proofErr w:type="spellEnd"/>
      <w:r w:rsidRPr="00895589">
        <w:rPr>
          <w:i/>
          <w:iCs/>
          <w:sz w:val="20"/>
          <w:szCs w:val="20"/>
        </w:rPr>
        <w:t xml:space="preserve"> dan </w:t>
      </w:r>
      <w:proofErr w:type="spellStart"/>
      <w:r w:rsidRPr="00895589">
        <w:rPr>
          <w:i/>
          <w:iCs/>
          <w:sz w:val="20"/>
          <w:szCs w:val="20"/>
        </w:rPr>
        <w:t>jenis</w:t>
      </w:r>
      <w:proofErr w:type="spellEnd"/>
      <w:r w:rsidRPr="00895589">
        <w:rPr>
          <w:i/>
          <w:iCs/>
          <w:sz w:val="20"/>
          <w:szCs w:val="20"/>
        </w:rPr>
        <w:t xml:space="preserve"> </w:t>
      </w:r>
      <w:proofErr w:type="spellStart"/>
      <w:r w:rsidRPr="00895589">
        <w:rPr>
          <w:i/>
          <w:iCs/>
          <w:sz w:val="20"/>
          <w:szCs w:val="20"/>
        </w:rPr>
        <w:t>kelamin</w:t>
      </w:r>
      <w:proofErr w:type="spellEnd"/>
      <w:r w:rsidRPr="00895589">
        <w:rPr>
          <w:i/>
          <w:iCs/>
          <w:sz w:val="20"/>
          <w:szCs w:val="20"/>
        </w:rPr>
        <w:t xml:space="preserve"> </w:t>
      </w:r>
      <w:proofErr w:type="spellStart"/>
      <w:r w:rsidRPr="00895589">
        <w:rPr>
          <w:i/>
          <w:iCs/>
          <w:sz w:val="20"/>
          <w:szCs w:val="20"/>
        </w:rPr>
        <w:t>dengan</w:t>
      </w:r>
      <w:proofErr w:type="spellEnd"/>
      <w:r w:rsidRPr="00895589">
        <w:rPr>
          <w:i/>
          <w:iCs/>
          <w:sz w:val="20"/>
          <w:szCs w:val="20"/>
        </w:rPr>
        <w:t xml:space="preserve"> </w:t>
      </w:r>
      <w:proofErr w:type="spellStart"/>
      <w:r w:rsidRPr="00895589">
        <w:rPr>
          <w:i/>
          <w:iCs/>
          <w:sz w:val="20"/>
          <w:szCs w:val="20"/>
        </w:rPr>
        <w:t>kejadian</w:t>
      </w:r>
      <w:proofErr w:type="spellEnd"/>
      <w:r w:rsidRPr="00895589">
        <w:rPr>
          <w:i/>
          <w:iCs/>
          <w:sz w:val="20"/>
          <w:szCs w:val="20"/>
        </w:rPr>
        <w:t xml:space="preserve"> </w:t>
      </w:r>
      <w:proofErr w:type="spellStart"/>
      <w:r w:rsidRPr="00895589">
        <w:rPr>
          <w:i/>
          <w:iCs/>
          <w:sz w:val="20"/>
          <w:szCs w:val="20"/>
        </w:rPr>
        <w:t>katarak</w:t>
      </w:r>
      <w:proofErr w:type="spellEnd"/>
      <w:r w:rsidRPr="00895589">
        <w:rPr>
          <w:i/>
          <w:iCs/>
          <w:sz w:val="20"/>
          <w:szCs w:val="20"/>
        </w:rPr>
        <w:t xml:space="preserve"> senilis: </w:t>
      </w:r>
      <w:proofErr w:type="spellStart"/>
      <w:r w:rsidRPr="00895589">
        <w:rPr>
          <w:i/>
          <w:iCs/>
          <w:sz w:val="20"/>
          <w:szCs w:val="20"/>
        </w:rPr>
        <w:t>Studi</w:t>
      </w:r>
      <w:proofErr w:type="spellEnd"/>
      <w:r w:rsidRPr="00895589">
        <w:rPr>
          <w:i/>
          <w:iCs/>
          <w:sz w:val="20"/>
          <w:szCs w:val="20"/>
        </w:rPr>
        <w:t xml:space="preserve"> </w:t>
      </w:r>
      <w:proofErr w:type="spellStart"/>
      <w:r w:rsidRPr="00895589">
        <w:rPr>
          <w:i/>
          <w:iCs/>
          <w:sz w:val="20"/>
          <w:szCs w:val="20"/>
        </w:rPr>
        <w:t>observasional</w:t>
      </w:r>
      <w:proofErr w:type="spellEnd"/>
      <w:r w:rsidRPr="00895589">
        <w:rPr>
          <w:i/>
          <w:iCs/>
          <w:sz w:val="20"/>
          <w:szCs w:val="20"/>
        </w:rPr>
        <w:t xml:space="preserve"> di Sultan Agung Eye </w:t>
      </w:r>
      <w:proofErr w:type="spellStart"/>
      <w:r w:rsidRPr="00895589">
        <w:rPr>
          <w:i/>
          <w:iCs/>
          <w:sz w:val="20"/>
          <w:szCs w:val="20"/>
        </w:rPr>
        <w:t>Center</w:t>
      </w:r>
      <w:proofErr w:type="spellEnd"/>
      <w:r w:rsidRPr="00895589">
        <w:rPr>
          <w:i/>
          <w:iCs/>
          <w:sz w:val="20"/>
          <w:szCs w:val="20"/>
        </w:rPr>
        <w:t xml:space="preserve"> (SEC) RSI Sultan Agung Semarang</w:t>
      </w:r>
      <w:r w:rsidRPr="00895589">
        <w:rPr>
          <w:sz w:val="20"/>
          <w:szCs w:val="20"/>
        </w:rPr>
        <w:t xml:space="preserve">. Semarang: Universitas Islam Sultan Agung (Doctoral dissertation). </w:t>
      </w:r>
    </w:p>
    <w:p w14:paraId="5D8733AB" w14:textId="77777777" w:rsidR="00895589" w:rsidRPr="00895589" w:rsidRDefault="00895589" w:rsidP="00984E2F">
      <w:pPr>
        <w:ind w:left="284" w:hanging="284"/>
        <w:rPr>
          <w:sz w:val="20"/>
          <w:szCs w:val="20"/>
          <w:lang w:val="en-US"/>
        </w:rPr>
      </w:pPr>
      <w:r w:rsidRPr="00895589">
        <w:rPr>
          <w:sz w:val="20"/>
          <w:szCs w:val="20"/>
          <w:lang w:val="en-US"/>
        </w:rPr>
        <w:t xml:space="preserve">Rossanti, V. S. (2024). </w:t>
      </w:r>
      <w:r w:rsidRPr="00895589">
        <w:rPr>
          <w:i/>
          <w:iCs/>
          <w:sz w:val="20"/>
          <w:szCs w:val="20"/>
          <w:lang w:val="it-IT"/>
        </w:rPr>
        <w:t>Hubungan kadar HbA1c dengan visual outcome pasca operasi phacoemulsifikasi</w:t>
      </w:r>
      <w:r w:rsidRPr="00895589">
        <w:rPr>
          <w:sz w:val="20"/>
          <w:szCs w:val="20"/>
          <w:lang w:val="it-IT"/>
        </w:rPr>
        <w:t xml:space="preserve">. </w:t>
      </w:r>
      <w:r w:rsidRPr="00895589">
        <w:rPr>
          <w:sz w:val="20"/>
          <w:szCs w:val="20"/>
        </w:rPr>
        <w:t>Semarang: Universitas Islam Sultan Agung (Doctoral dissertation)</w:t>
      </w:r>
      <w:r w:rsidRPr="00895589">
        <w:rPr>
          <w:sz w:val="20"/>
          <w:szCs w:val="20"/>
          <w:lang w:val="en-US"/>
        </w:rPr>
        <w:t>.</w:t>
      </w:r>
    </w:p>
    <w:p w14:paraId="26D60E39" w14:textId="77777777" w:rsidR="00895589" w:rsidRPr="00895589" w:rsidRDefault="00895589" w:rsidP="007E1E7A">
      <w:pPr>
        <w:ind w:left="284" w:hanging="284"/>
        <w:rPr>
          <w:sz w:val="20"/>
          <w:szCs w:val="20"/>
          <w:lang w:val="en-US"/>
        </w:rPr>
      </w:pPr>
      <w:r w:rsidRPr="00895589">
        <w:rPr>
          <w:sz w:val="20"/>
          <w:szCs w:val="20"/>
        </w:rPr>
        <w:t>Sangeetha, T., &amp; Inchara, N. (2025). Is glycaemic control essential for cataract surgery among patients with diabetes mellitus?. </w:t>
      </w:r>
      <w:r w:rsidRPr="00895589">
        <w:rPr>
          <w:i/>
          <w:iCs/>
          <w:sz w:val="20"/>
          <w:szCs w:val="20"/>
        </w:rPr>
        <w:t>Bioinformation</w:t>
      </w:r>
      <w:r w:rsidRPr="00895589">
        <w:rPr>
          <w:sz w:val="20"/>
          <w:szCs w:val="20"/>
        </w:rPr>
        <w:t>, </w:t>
      </w:r>
      <w:r w:rsidRPr="00895589">
        <w:rPr>
          <w:i/>
          <w:iCs/>
          <w:sz w:val="20"/>
          <w:szCs w:val="20"/>
        </w:rPr>
        <w:t>21</w:t>
      </w:r>
      <w:r w:rsidRPr="00895589">
        <w:rPr>
          <w:sz w:val="20"/>
          <w:szCs w:val="20"/>
        </w:rPr>
        <w:t xml:space="preserve">(5), 1011-1025. </w:t>
      </w:r>
      <w:hyperlink r:id="rId29" w:tgtFrame="_blank" w:history="1">
        <w:r w:rsidRPr="00895589">
          <w:rPr>
            <w:rStyle w:val="Hyperlink"/>
            <w:sz w:val="20"/>
            <w:szCs w:val="20"/>
          </w:rPr>
          <w:t>https://doi.org/10.6026/973206300211011</w:t>
        </w:r>
      </w:hyperlink>
      <w:r w:rsidRPr="00895589">
        <w:rPr>
          <w:sz w:val="20"/>
          <w:szCs w:val="20"/>
        </w:rPr>
        <w:t>.</w:t>
      </w:r>
    </w:p>
    <w:p w14:paraId="7CEC7825" w14:textId="77777777" w:rsidR="00895589" w:rsidRPr="00895589" w:rsidRDefault="00895589" w:rsidP="00984E2F">
      <w:pPr>
        <w:ind w:left="284" w:hanging="284"/>
        <w:rPr>
          <w:sz w:val="20"/>
          <w:szCs w:val="20"/>
          <w:lang w:val="en-US"/>
        </w:rPr>
      </w:pPr>
      <w:r w:rsidRPr="00895589">
        <w:rPr>
          <w:sz w:val="20"/>
          <w:szCs w:val="20"/>
          <w:lang w:val="en-US"/>
        </w:rPr>
        <w:t xml:space="preserve">Sebastian, F., </w:t>
      </w:r>
      <w:proofErr w:type="spellStart"/>
      <w:r w:rsidRPr="00895589">
        <w:rPr>
          <w:sz w:val="20"/>
          <w:szCs w:val="20"/>
          <w:lang w:val="en-US"/>
        </w:rPr>
        <w:t>DelCiello</w:t>
      </w:r>
      <w:proofErr w:type="spellEnd"/>
      <w:r w:rsidRPr="00895589">
        <w:rPr>
          <w:sz w:val="20"/>
          <w:szCs w:val="20"/>
          <w:lang w:val="en-US"/>
        </w:rPr>
        <w:t xml:space="preserve">, H., Pant, A. D., Girard, M. J. A., Pathak-Ray, V., Dorairaj, S. K., &amp; Amini, R. (2025). Image-based inverse modeling analysis of iris stiffness across sex in patients with a history of primary angle-closure disease. </w:t>
      </w:r>
      <w:r w:rsidRPr="00895589">
        <w:rPr>
          <w:i/>
          <w:iCs/>
          <w:sz w:val="20"/>
          <w:szCs w:val="20"/>
          <w:lang w:val="en-US"/>
        </w:rPr>
        <w:t>ASME Open Journal of Engineering, 4</w:t>
      </w:r>
      <w:r w:rsidRPr="00895589">
        <w:rPr>
          <w:sz w:val="20"/>
          <w:szCs w:val="20"/>
          <w:lang w:val="en-US"/>
        </w:rPr>
        <w:t xml:space="preserve">(1), 1–8. </w:t>
      </w:r>
      <w:r w:rsidRPr="00895589">
        <w:rPr>
          <w:sz w:val="20"/>
          <w:szCs w:val="20"/>
        </w:rPr>
        <w:t> </w:t>
      </w:r>
      <w:hyperlink r:id="rId30" w:tgtFrame="_blank" w:history="1">
        <w:r w:rsidRPr="00895589">
          <w:rPr>
            <w:rStyle w:val="Hyperlink"/>
            <w:sz w:val="20"/>
            <w:szCs w:val="20"/>
          </w:rPr>
          <w:t>https://doi.org/10.1115/1.4068677</w:t>
        </w:r>
      </w:hyperlink>
      <w:r w:rsidRPr="00895589">
        <w:rPr>
          <w:sz w:val="20"/>
          <w:szCs w:val="20"/>
          <w:lang w:val="en-US"/>
        </w:rPr>
        <w:t>.</w:t>
      </w:r>
    </w:p>
    <w:p w14:paraId="16CA22AC" w14:textId="77777777" w:rsidR="00895589" w:rsidRPr="00895589" w:rsidRDefault="00895589" w:rsidP="00984E2F">
      <w:pPr>
        <w:ind w:left="284" w:hanging="284"/>
        <w:rPr>
          <w:sz w:val="20"/>
          <w:szCs w:val="20"/>
        </w:rPr>
      </w:pPr>
      <w:r w:rsidRPr="00895589">
        <w:rPr>
          <w:sz w:val="20"/>
          <w:szCs w:val="20"/>
        </w:rPr>
        <w:t xml:space="preserve">Wibowo, A. P., Aryani, A., &amp; Suwarni, A. (2024). </w:t>
      </w:r>
      <w:proofErr w:type="spellStart"/>
      <w:r w:rsidRPr="00895589">
        <w:rPr>
          <w:i/>
          <w:iCs/>
          <w:sz w:val="20"/>
          <w:szCs w:val="20"/>
        </w:rPr>
        <w:t>Hubungan</w:t>
      </w:r>
      <w:proofErr w:type="spellEnd"/>
      <w:r w:rsidRPr="00895589">
        <w:rPr>
          <w:i/>
          <w:iCs/>
          <w:sz w:val="20"/>
          <w:szCs w:val="20"/>
        </w:rPr>
        <w:t xml:space="preserve"> lama dan </w:t>
      </w:r>
      <w:proofErr w:type="spellStart"/>
      <w:r w:rsidRPr="00895589">
        <w:rPr>
          <w:i/>
          <w:iCs/>
          <w:sz w:val="20"/>
          <w:szCs w:val="20"/>
        </w:rPr>
        <w:t>jarak</w:t>
      </w:r>
      <w:proofErr w:type="spellEnd"/>
      <w:r w:rsidRPr="00895589">
        <w:rPr>
          <w:i/>
          <w:iCs/>
          <w:sz w:val="20"/>
          <w:szCs w:val="20"/>
        </w:rPr>
        <w:t xml:space="preserve"> </w:t>
      </w:r>
      <w:proofErr w:type="spellStart"/>
      <w:r w:rsidRPr="00895589">
        <w:rPr>
          <w:i/>
          <w:iCs/>
          <w:sz w:val="20"/>
          <w:szCs w:val="20"/>
        </w:rPr>
        <w:t>penggunaan</w:t>
      </w:r>
      <w:proofErr w:type="spellEnd"/>
      <w:r w:rsidRPr="00895589">
        <w:rPr>
          <w:i/>
          <w:iCs/>
          <w:sz w:val="20"/>
          <w:szCs w:val="20"/>
        </w:rPr>
        <w:t xml:space="preserve"> gadget </w:t>
      </w:r>
      <w:proofErr w:type="spellStart"/>
      <w:r w:rsidRPr="00895589">
        <w:rPr>
          <w:i/>
          <w:iCs/>
          <w:sz w:val="20"/>
          <w:szCs w:val="20"/>
        </w:rPr>
        <w:t>dengan</w:t>
      </w:r>
      <w:proofErr w:type="spellEnd"/>
      <w:r w:rsidRPr="00895589">
        <w:rPr>
          <w:i/>
          <w:iCs/>
          <w:sz w:val="20"/>
          <w:szCs w:val="20"/>
        </w:rPr>
        <w:t xml:space="preserve"> </w:t>
      </w:r>
      <w:proofErr w:type="spellStart"/>
      <w:r w:rsidRPr="00895589">
        <w:rPr>
          <w:i/>
          <w:iCs/>
          <w:sz w:val="20"/>
          <w:szCs w:val="20"/>
        </w:rPr>
        <w:t>ketajaman</w:t>
      </w:r>
      <w:proofErr w:type="spellEnd"/>
      <w:r w:rsidRPr="00895589">
        <w:rPr>
          <w:i/>
          <w:iCs/>
          <w:sz w:val="20"/>
          <w:szCs w:val="20"/>
        </w:rPr>
        <w:t xml:space="preserve"> </w:t>
      </w:r>
      <w:proofErr w:type="spellStart"/>
      <w:r w:rsidRPr="00895589">
        <w:rPr>
          <w:i/>
          <w:iCs/>
          <w:sz w:val="20"/>
          <w:szCs w:val="20"/>
        </w:rPr>
        <w:t>penglihatan</w:t>
      </w:r>
      <w:proofErr w:type="spellEnd"/>
      <w:r w:rsidRPr="00895589">
        <w:rPr>
          <w:i/>
          <w:iCs/>
          <w:sz w:val="20"/>
          <w:szCs w:val="20"/>
        </w:rPr>
        <w:t xml:space="preserve"> </w:t>
      </w:r>
      <w:proofErr w:type="spellStart"/>
      <w:r w:rsidRPr="00895589">
        <w:rPr>
          <w:i/>
          <w:iCs/>
          <w:sz w:val="20"/>
          <w:szCs w:val="20"/>
        </w:rPr>
        <w:t>anak</w:t>
      </w:r>
      <w:proofErr w:type="spellEnd"/>
      <w:r w:rsidRPr="00895589">
        <w:rPr>
          <w:i/>
          <w:iCs/>
          <w:sz w:val="20"/>
          <w:szCs w:val="20"/>
        </w:rPr>
        <w:t xml:space="preserve"> di </w:t>
      </w:r>
      <w:proofErr w:type="spellStart"/>
      <w:r w:rsidRPr="00895589">
        <w:rPr>
          <w:i/>
          <w:iCs/>
          <w:sz w:val="20"/>
          <w:szCs w:val="20"/>
        </w:rPr>
        <w:t>Dukuh</w:t>
      </w:r>
      <w:proofErr w:type="spellEnd"/>
      <w:r w:rsidRPr="00895589">
        <w:rPr>
          <w:i/>
          <w:iCs/>
          <w:sz w:val="20"/>
          <w:szCs w:val="20"/>
        </w:rPr>
        <w:t xml:space="preserve"> </w:t>
      </w:r>
      <w:proofErr w:type="spellStart"/>
      <w:r w:rsidRPr="00895589">
        <w:rPr>
          <w:i/>
          <w:iCs/>
          <w:sz w:val="20"/>
          <w:szCs w:val="20"/>
        </w:rPr>
        <w:t>Bentangan</w:t>
      </w:r>
      <w:proofErr w:type="spellEnd"/>
      <w:r w:rsidRPr="00895589">
        <w:rPr>
          <w:sz w:val="20"/>
          <w:szCs w:val="20"/>
        </w:rPr>
        <w:t>. Surakarta: Universitas Sahid Surakarta (Doctoral dissertation).</w:t>
      </w:r>
    </w:p>
    <w:p w14:paraId="63A0E471" w14:textId="77777777" w:rsidR="00895589" w:rsidRPr="00895589" w:rsidRDefault="00895589" w:rsidP="00984E2F">
      <w:pPr>
        <w:ind w:left="284" w:hanging="284"/>
        <w:rPr>
          <w:sz w:val="20"/>
          <w:szCs w:val="20"/>
        </w:rPr>
      </w:pPr>
      <w:r w:rsidRPr="00895589">
        <w:rPr>
          <w:sz w:val="20"/>
          <w:szCs w:val="20"/>
        </w:rPr>
        <w:t>Wibowo, R. (2026). The incidence of surgical site infection and the implementation of prophylactic antibiotic use in general surgery patients. </w:t>
      </w:r>
      <w:r w:rsidRPr="00895589">
        <w:rPr>
          <w:i/>
          <w:iCs/>
          <w:sz w:val="20"/>
          <w:szCs w:val="20"/>
        </w:rPr>
        <w:t>Research Horizon</w:t>
      </w:r>
      <w:r w:rsidRPr="00895589">
        <w:rPr>
          <w:sz w:val="20"/>
          <w:szCs w:val="20"/>
        </w:rPr>
        <w:t>, </w:t>
      </w:r>
      <w:r w:rsidRPr="00895589">
        <w:rPr>
          <w:i/>
          <w:iCs/>
          <w:sz w:val="20"/>
          <w:szCs w:val="20"/>
        </w:rPr>
        <w:t>6</w:t>
      </w:r>
      <w:r w:rsidRPr="00895589">
        <w:rPr>
          <w:sz w:val="20"/>
          <w:szCs w:val="20"/>
        </w:rPr>
        <w:t xml:space="preserve">(2), 873-890. </w:t>
      </w:r>
      <w:hyperlink r:id="rId31" w:history="1">
        <w:r w:rsidRPr="00895589">
          <w:rPr>
            <w:rStyle w:val="Hyperlink"/>
            <w:sz w:val="20"/>
            <w:szCs w:val="20"/>
          </w:rPr>
          <w:t>https://doi.org/10.54518/rh.6.2.2026.1082</w:t>
        </w:r>
      </w:hyperlink>
      <w:r w:rsidRPr="00895589">
        <w:rPr>
          <w:sz w:val="20"/>
          <w:szCs w:val="20"/>
        </w:rPr>
        <w:t>.</w:t>
      </w:r>
    </w:p>
    <w:p w14:paraId="2E68B997" w14:textId="77777777" w:rsidR="00895589" w:rsidRPr="00895589" w:rsidRDefault="00895589" w:rsidP="00984E2F">
      <w:pPr>
        <w:ind w:left="284" w:hanging="284"/>
        <w:rPr>
          <w:sz w:val="20"/>
          <w:szCs w:val="20"/>
          <w:lang w:val="en-US"/>
        </w:rPr>
      </w:pPr>
      <w:r w:rsidRPr="00895589">
        <w:rPr>
          <w:sz w:val="20"/>
          <w:szCs w:val="20"/>
          <w:lang w:val="en-US"/>
        </w:rPr>
        <w:t xml:space="preserve">World Health Organization. (2020). </w:t>
      </w:r>
      <w:r w:rsidRPr="00895589">
        <w:rPr>
          <w:i/>
          <w:iCs/>
          <w:sz w:val="20"/>
          <w:szCs w:val="20"/>
          <w:lang w:val="en-US"/>
        </w:rPr>
        <w:t>Global estimates on the number of people blind or visually impaired by cataract: A meta-analysis from 2000 to 2020</w:t>
      </w:r>
      <w:r w:rsidRPr="00895589">
        <w:rPr>
          <w:sz w:val="20"/>
          <w:szCs w:val="20"/>
          <w:lang w:val="en-US"/>
        </w:rPr>
        <w:t>. Geneva: World Health Organization.</w:t>
      </w:r>
    </w:p>
    <w:p w14:paraId="02A496F9" w14:textId="77777777" w:rsidR="00895589" w:rsidRPr="00895589" w:rsidRDefault="00895589" w:rsidP="00984E2F">
      <w:pPr>
        <w:ind w:left="284" w:hanging="284"/>
        <w:rPr>
          <w:sz w:val="20"/>
          <w:szCs w:val="20"/>
        </w:rPr>
      </w:pPr>
      <w:r w:rsidRPr="00895589">
        <w:rPr>
          <w:sz w:val="20"/>
          <w:szCs w:val="20"/>
        </w:rPr>
        <w:t xml:space="preserve">Yosar, J. C., Zagora, S. L., &amp; Grigg, J. R. (2021). Cataract surgery in short eyes, including </w:t>
      </w:r>
      <w:proofErr w:type="spellStart"/>
      <w:r w:rsidRPr="00895589">
        <w:rPr>
          <w:sz w:val="20"/>
          <w:szCs w:val="20"/>
        </w:rPr>
        <w:t>nanophthalmos</w:t>
      </w:r>
      <w:proofErr w:type="spellEnd"/>
      <w:r w:rsidRPr="00895589">
        <w:rPr>
          <w:sz w:val="20"/>
          <w:szCs w:val="20"/>
        </w:rPr>
        <w:t>: visual outcomes, complications and refractive results. </w:t>
      </w:r>
      <w:r w:rsidRPr="00895589">
        <w:rPr>
          <w:i/>
          <w:iCs/>
          <w:sz w:val="20"/>
          <w:szCs w:val="20"/>
        </w:rPr>
        <w:t>Clinical Ophthalmology</w:t>
      </w:r>
      <w:r w:rsidRPr="00895589">
        <w:rPr>
          <w:sz w:val="20"/>
          <w:szCs w:val="20"/>
        </w:rPr>
        <w:t>,</w:t>
      </w:r>
      <w:r w:rsidRPr="00895589">
        <w:rPr>
          <w:i/>
          <w:iCs/>
          <w:sz w:val="20"/>
          <w:szCs w:val="20"/>
        </w:rPr>
        <w:t xml:space="preserve"> 5</w:t>
      </w:r>
      <w:r w:rsidRPr="00895589">
        <w:rPr>
          <w:sz w:val="20"/>
          <w:szCs w:val="20"/>
        </w:rPr>
        <w:t xml:space="preserve">(45) 4543-4551. </w:t>
      </w:r>
      <w:hyperlink r:id="rId32" w:history="1">
        <w:r w:rsidRPr="00895589">
          <w:rPr>
            <w:rStyle w:val="Hyperlink"/>
            <w:sz w:val="20"/>
            <w:szCs w:val="20"/>
          </w:rPr>
          <w:t>https://doi.org/10.2147/OPTH.S344465</w:t>
        </w:r>
      </w:hyperlink>
      <w:r w:rsidRPr="00895589">
        <w:rPr>
          <w:sz w:val="20"/>
          <w:szCs w:val="20"/>
        </w:rPr>
        <w:t>.</w:t>
      </w:r>
    </w:p>
    <w:p w14:paraId="7F407C03" w14:textId="77777777" w:rsidR="00895589" w:rsidRPr="00895589" w:rsidRDefault="00895589" w:rsidP="00960F89">
      <w:pPr>
        <w:ind w:left="284" w:hanging="284"/>
        <w:rPr>
          <w:sz w:val="20"/>
          <w:szCs w:val="20"/>
        </w:rPr>
      </w:pPr>
      <w:proofErr w:type="spellStart"/>
      <w:r w:rsidRPr="00895589">
        <w:rPr>
          <w:sz w:val="20"/>
          <w:szCs w:val="20"/>
        </w:rPr>
        <w:lastRenderedPageBreak/>
        <w:t>Yuliantoro</w:t>
      </w:r>
      <w:proofErr w:type="spellEnd"/>
      <w:r w:rsidRPr="00895589">
        <w:rPr>
          <w:sz w:val="20"/>
          <w:szCs w:val="20"/>
        </w:rPr>
        <w:t>, T. A. R. (2024). </w:t>
      </w:r>
      <w:r w:rsidRPr="00895589">
        <w:rPr>
          <w:i/>
          <w:iCs/>
          <w:sz w:val="20"/>
          <w:szCs w:val="20"/>
          <w:lang w:val="it-IT"/>
        </w:rPr>
        <w:t>Hubungan antara derajat miopia dengan tekanan intraokuler pada pasien poli rawat jalan mata di RSU Dr. Wahidin Sudiro Husodo Mojokerto</w:t>
      </w:r>
      <w:r w:rsidRPr="00895589">
        <w:rPr>
          <w:sz w:val="20"/>
          <w:szCs w:val="20"/>
          <w:lang w:val="it-IT"/>
        </w:rPr>
        <w:t xml:space="preserve">. </w:t>
      </w:r>
      <w:r w:rsidRPr="00895589">
        <w:rPr>
          <w:sz w:val="20"/>
          <w:szCs w:val="20"/>
        </w:rPr>
        <w:t>Surabaya: Universitas Muhammadiyah Surabaya (Doctoral dissertation).</w:t>
      </w:r>
    </w:p>
    <w:p w14:paraId="75728364" w14:textId="45278A8A" w:rsidR="0034370C" w:rsidRPr="00895589" w:rsidRDefault="0034370C" w:rsidP="00DF21F8"/>
    <w:p w14:paraId="76CE2ED0" w14:textId="54FB6645" w:rsidR="0034370C" w:rsidRPr="00895589" w:rsidRDefault="0034370C" w:rsidP="00DF21F8"/>
    <w:p w14:paraId="4B8F425A" w14:textId="51F15601" w:rsidR="00E02BA0" w:rsidRPr="00895589" w:rsidRDefault="00E02BA0" w:rsidP="00DF21F8"/>
    <w:p w14:paraId="327D4000" w14:textId="0A0D1F76" w:rsidR="00E02BA0" w:rsidRPr="00895589" w:rsidRDefault="00E02BA0" w:rsidP="00DF21F8"/>
    <w:p w14:paraId="347CB514" w14:textId="2F3B977C" w:rsidR="00E02BA0" w:rsidRPr="00895589" w:rsidRDefault="00E02BA0" w:rsidP="00DF21F8"/>
    <w:p w14:paraId="1C2F3402" w14:textId="59EB00E6" w:rsidR="00E02BA0" w:rsidRPr="00895589" w:rsidRDefault="00E02BA0" w:rsidP="00DF21F8"/>
    <w:p w14:paraId="278E5F08" w14:textId="1BE089D4" w:rsidR="00E02BA0" w:rsidRPr="00895589" w:rsidRDefault="00E02BA0" w:rsidP="00DF21F8"/>
    <w:p w14:paraId="10144E47" w14:textId="43E511A3" w:rsidR="00E02BA0" w:rsidRPr="00895589" w:rsidRDefault="00E02BA0" w:rsidP="00DF21F8"/>
    <w:p w14:paraId="45E2733B" w14:textId="0C3AFD2F" w:rsidR="00006371" w:rsidRPr="00895589" w:rsidRDefault="00006371" w:rsidP="00DF21F8"/>
    <w:p w14:paraId="4E0FB5A3" w14:textId="4BB80595" w:rsidR="00006371" w:rsidRPr="00895589" w:rsidRDefault="00006371" w:rsidP="00DF21F8"/>
    <w:p w14:paraId="6DBAF706" w14:textId="38A38F7A" w:rsidR="00006371" w:rsidRPr="00895589" w:rsidRDefault="00006371" w:rsidP="00DF21F8"/>
    <w:p w14:paraId="75C3FD2E" w14:textId="77777777" w:rsidR="00006371" w:rsidRPr="00895589" w:rsidRDefault="00006371" w:rsidP="00DF21F8"/>
    <w:p w14:paraId="3BBD8250" w14:textId="703D0C8E" w:rsidR="00E02BA0" w:rsidRPr="00895589" w:rsidRDefault="00E02BA0" w:rsidP="00DF21F8"/>
    <w:p w14:paraId="71178717" w14:textId="77777777" w:rsidR="00E02BA0" w:rsidRPr="00895589" w:rsidRDefault="00E02BA0" w:rsidP="00DF21F8"/>
    <w:p w14:paraId="5878E481" w14:textId="30E320E6" w:rsidR="0034370C" w:rsidRPr="00895589" w:rsidRDefault="0034370C" w:rsidP="00DF21F8"/>
    <w:p w14:paraId="1471F0F2" w14:textId="72354223" w:rsidR="0034370C" w:rsidRPr="00895589" w:rsidRDefault="0034370C" w:rsidP="00DF21F8"/>
    <w:p w14:paraId="0333DE39" w14:textId="45A1C93E" w:rsidR="00E02BA0" w:rsidRPr="00895589" w:rsidRDefault="00E02BA0" w:rsidP="00E02BA0">
      <w:pPr>
        <w:ind w:firstLine="0"/>
        <w:rPr>
          <w:rFonts w:eastAsia="Times New Roman" w:cs="Times New Roman"/>
          <w:kern w:val="0"/>
          <w:lang w:val="id-ID" w:eastAsia="id-ID"/>
          <w14:ligatures w14:val="none"/>
        </w:rPr>
      </w:pPr>
      <w:proofErr w:type="spellStart"/>
      <w:r w:rsidRPr="00895589">
        <w:rPr>
          <w:rFonts w:eastAsia="Times New Roman" w:cs="Times New Roman"/>
          <w:b/>
          <w:bCs/>
          <w:i/>
          <w:iCs/>
          <w:kern w:val="0"/>
          <w:sz w:val="24"/>
          <w:szCs w:val="24"/>
          <w:lang w:val="id-ID" w:eastAsia="id-ID"/>
          <w14:ligatures w14:val="none"/>
        </w:rPr>
        <w:t>Acknowledgment</w:t>
      </w:r>
      <w:proofErr w:type="spellEnd"/>
      <w:r w:rsidRPr="00895589">
        <w:rPr>
          <w:rFonts w:eastAsia="Times New Roman" w:cs="Times New Roman"/>
          <w:i/>
          <w:iCs/>
          <w:kern w:val="0"/>
          <w:sz w:val="24"/>
          <w:szCs w:val="24"/>
          <w:lang w:val="id-ID" w:eastAsia="id-ID"/>
          <w14:ligatures w14:val="none"/>
        </w:rPr>
        <w:br/>
      </w:r>
      <w:r w:rsidRPr="00895589">
        <w:rPr>
          <w:rFonts w:eastAsia="Times New Roman" w:cs="Times New Roman"/>
          <w:kern w:val="0"/>
          <w:lang w:val="id-ID" w:eastAsia="id-ID"/>
          <w14:ligatures w14:val="none"/>
        </w:rPr>
        <w:t xml:space="preserve">We </w:t>
      </w:r>
      <w:proofErr w:type="spellStart"/>
      <w:r w:rsidRPr="00895589">
        <w:rPr>
          <w:rFonts w:eastAsia="Times New Roman" w:cs="Times New Roman"/>
          <w:kern w:val="0"/>
          <w:lang w:val="id-ID" w:eastAsia="id-ID"/>
          <w14:ligatures w14:val="none"/>
        </w:rPr>
        <w:t>gratefully</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acknowledge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contributions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of</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individuals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who</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supported</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completion</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of</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this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article</w:t>
      </w:r>
      <w:proofErr w:type="spellEnd"/>
      <w:r w:rsidRPr="00895589">
        <w:rPr>
          <w:rFonts w:eastAsia="Times New Roman" w:cs="Times New Roman"/>
          <w:kern w:val="0"/>
          <w:lang w:val="id-ID" w:eastAsia="id-ID"/>
          <w14:ligatures w14:val="none"/>
        </w:rPr>
        <w:t>.</w:t>
      </w:r>
    </w:p>
    <w:p w14:paraId="6AB235CC" w14:textId="77777777" w:rsidR="00E02BA0" w:rsidRPr="00895589" w:rsidRDefault="00E02BA0" w:rsidP="00E02BA0">
      <w:pPr>
        <w:ind w:firstLine="0"/>
        <w:rPr>
          <w:rFonts w:eastAsia="Times New Roman" w:cs="Times New Roman"/>
          <w:kern w:val="0"/>
          <w:lang w:val="id-ID" w:eastAsia="id-ID"/>
          <w14:ligatures w14:val="none"/>
        </w:rPr>
      </w:pPr>
    </w:p>
    <w:p w14:paraId="18138953" w14:textId="77777777" w:rsidR="00E02BA0" w:rsidRPr="00895589" w:rsidRDefault="00E02BA0" w:rsidP="00E02BA0">
      <w:pPr>
        <w:ind w:firstLine="0"/>
        <w:rPr>
          <w:rFonts w:eastAsia="Times New Roman" w:cs="Times New Roman"/>
          <w:b/>
          <w:bCs/>
          <w:i/>
          <w:iCs/>
          <w:kern w:val="0"/>
          <w:sz w:val="24"/>
          <w:szCs w:val="24"/>
          <w:lang w:val="id-ID" w:eastAsia="id-ID"/>
          <w14:ligatures w14:val="none"/>
        </w:rPr>
      </w:pPr>
      <w:r w:rsidRPr="00895589">
        <w:rPr>
          <w:rFonts w:eastAsia="Times New Roman" w:cs="Times New Roman"/>
          <w:b/>
          <w:bCs/>
          <w:i/>
          <w:iCs/>
          <w:kern w:val="0"/>
          <w:sz w:val="24"/>
          <w:szCs w:val="24"/>
          <w:lang w:val="id-ID" w:eastAsia="id-ID"/>
          <w14:ligatures w14:val="none"/>
        </w:rPr>
        <w:t xml:space="preserve">Funding </w:t>
      </w:r>
      <w:proofErr w:type="spellStart"/>
      <w:r w:rsidRPr="00895589">
        <w:rPr>
          <w:rFonts w:eastAsia="Times New Roman" w:cs="Times New Roman"/>
          <w:b/>
          <w:bCs/>
          <w:i/>
          <w:iCs/>
          <w:kern w:val="0"/>
          <w:sz w:val="24"/>
          <w:szCs w:val="24"/>
          <w:lang w:val="id-ID" w:eastAsia="id-ID"/>
          <w14:ligatures w14:val="none"/>
        </w:rPr>
        <w:t>Information</w:t>
      </w:r>
      <w:proofErr w:type="spellEnd"/>
    </w:p>
    <w:p w14:paraId="77E0ECDF" w14:textId="51C6D0FD" w:rsidR="00E02BA0" w:rsidRPr="00895589" w:rsidRDefault="00E02BA0" w:rsidP="00E02BA0">
      <w:pPr>
        <w:ind w:firstLine="0"/>
        <w:rPr>
          <w:rFonts w:eastAsia="Times New Roman" w:cs="Times New Roman"/>
          <w:kern w:val="0"/>
          <w:lang w:val="id-ID" w:eastAsia="id-ID"/>
          <w14:ligatures w14:val="none"/>
        </w:rPr>
      </w:pPr>
      <w:proofErr w:type="spellStart"/>
      <w:r w:rsidRPr="00895589">
        <w:rPr>
          <w:rFonts w:eastAsia="Times New Roman" w:cs="Times New Roman"/>
          <w:kern w:val="0"/>
          <w:lang w:val="id-ID" w:eastAsia="id-ID"/>
          <w14:ligatures w14:val="none"/>
        </w:rPr>
        <w:t>This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research</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did</w:t>
      </w:r>
      <w:proofErr w:type="spellEnd"/>
      <w:r w:rsidRPr="00895589">
        <w:rPr>
          <w:rFonts w:eastAsia="Times New Roman" w:cs="Times New Roman"/>
          <w:kern w:val="0"/>
          <w:lang w:val="id-ID" w:eastAsia="id-ID"/>
          <w14:ligatures w14:val="none"/>
        </w:rPr>
        <w:t xml:space="preserve"> not </w:t>
      </w:r>
      <w:proofErr w:type="spellStart"/>
      <w:r w:rsidRPr="00895589">
        <w:rPr>
          <w:rFonts w:eastAsia="Times New Roman" w:cs="Times New Roman"/>
          <w:kern w:val="0"/>
          <w:lang w:val="id-ID" w:eastAsia="id-ID"/>
          <w14:ligatures w14:val="none"/>
        </w:rPr>
        <w:t>receive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any</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funding</w:t>
      </w:r>
      <w:proofErr w:type="spellEnd"/>
      <w:r w:rsidRPr="00895589">
        <w:rPr>
          <w:rFonts w:eastAsia="Times New Roman" w:cs="Times New Roman"/>
          <w:kern w:val="0"/>
          <w:lang w:val="id-ID" w:eastAsia="id-ID"/>
          <w14:ligatures w14:val="none"/>
        </w:rPr>
        <w:t>.</w:t>
      </w:r>
    </w:p>
    <w:p w14:paraId="534C59BE" w14:textId="77777777" w:rsidR="00E02BA0" w:rsidRPr="00895589" w:rsidRDefault="00E02BA0" w:rsidP="00E02BA0">
      <w:pPr>
        <w:ind w:firstLine="0"/>
        <w:rPr>
          <w:rFonts w:eastAsia="Times New Roman" w:cs="Times New Roman"/>
          <w:kern w:val="0"/>
          <w:lang w:val="id-ID" w:eastAsia="id-ID"/>
          <w14:ligatures w14:val="none"/>
        </w:rPr>
      </w:pPr>
    </w:p>
    <w:p w14:paraId="2212A773" w14:textId="77777777" w:rsidR="00E02BA0" w:rsidRPr="00895589" w:rsidRDefault="00E02BA0" w:rsidP="00E02BA0">
      <w:pPr>
        <w:ind w:firstLine="0"/>
        <w:rPr>
          <w:rFonts w:eastAsia="Times New Roman" w:cs="Times New Roman"/>
          <w:b/>
          <w:bCs/>
          <w:i/>
          <w:iCs/>
          <w:kern w:val="0"/>
          <w:sz w:val="24"/>
          <w:szCs w:val="24"/>
          <w:lang w:val="id-ID" w:eastAsia="id-ID"/>
          <w14:ligatures w14:val="none"/>
        </w:rPr>
      </w:pPr>
      <w:proofErr w:type="spellStart"/>
      <w:r w:rsidRPr="00895589">
        <w:rPr>
          <w:rFonts w:eastAsia="Times New Roman" w:cs="Times New Roman"/>
          <w:b/>
          <w:bCs/>
          <w:i/>
          <w:iCs/>
          <w:kern w:val="0"/>
          <w:sz w:val="24"/>
          <w:szCs w:val="24"/>
          <w:lang w:val="id-ID" w:eastAsia="id-ID"/>
          <w14:ligatures w14:val="none"/>
        </w:rPr>
        <w:t>Conflict</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of</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Interest</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Statement</w:t>
      </w:r>
      <w:proofErr w:type="spellEnd"/>
    </w:p>
    <w:p w14:paraId="0AEC21C0" w14:textId="331BB414" w:rsidR="00E02BA0" w:rsidRPr="00895589" w:rsidRDefault="00E02BA0" w:rsidP="00E02BA0">
      <w:pPr>
        <w:ind w:firstLine="0"/>
        <w:rPr>
          <w:rFonts w:eastAsia="Times New Roman" w:cs="Times New Roman"/>
          <w:kern w:val="0"/>
          <w:lang w:val="id-ID" w:eastAsia="id-ID"/>
          <w14:ligatures w14:val="none"/>
        </w:rPr>
      </w:pPr>
      <w:r w:rsidRPr="00895589">
        <w:rPr>
          <w:rFonts w:eastAsia="Times New Roman" w:cs="Times New Roman"/>
          <w:kern w:val="0"/>
          <w:lang w:val="id-ID" w:eastAsia="id-ID"/>
          <w14:ligatures w14:val="none"/>
        </w:rPr>
        <w:t xml:space="preserve">The </w:t>
      </w:r>
      <w:proofErr w:type="spellStart"/>
      <w:r w:rsidRPr="00895589">
        <w:rPr>
          <w:rFonts w:eastAsia="Times New Roman" w:cs="Times New Roman"/>
          <w:kern w:val="0"/>
          <w:lang w:val="id-ID" w:eastAsia="id-ID"/>
          <w14:ligatures w14:val="none"/>
        </w:rPr>
        <w:t>authors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declare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that</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there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is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no</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conflict</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of</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interest</w:t>
      </w:r>
      <w:proofErr w:type="spellEnd"/>
      <w:r w:rsidRPr="00895589">
        <w:rPr>
          <w:rFonts w:eastAsia="Times New Roman" w:cs="Times New Roman"/>
          <w:kern w:val="0"/>
          <w:lang w:val="id-ID" w:eastAsia="id-ID"/>
          <w14:ligatures w14:val="none"/>
        </w:rPr>
        <w:t>.</w:t>
      </w:r>
    </w:p>
    <w:p w14:paraId="48D825E0" w14:textId="77777777" w:rsidR="00E02BA0" w:rsidRPr="00895589" w:rsidRDefault="00E02BA0" w:rsidP="00E02BA0">
      <w:pPr>
        <w:ind w:firstLine="0"/>
        <w:rPr>
          <w:rFonts w:eastAsia="Times New Roman" w:cs="Times New Roman"/>
          <w:kern w:val="0"/>
          <w:lang w:val="id-ID" w:eastAsia="id-ID"/>
          <w14:ligatures w14:val="none"/>
        </w:rPr>
      </w:pPr>
    </w:p>
    <w:p w14:paraId="47391A0D" w14:textId="77777777" w:rsidR="00E02BA0" w:rsidRPr="00895589" w:rsidRDefault="00E02BA0" w:rsidP="00E02BA0">
      <w:pPr>
        <w:ind w:firstLine="0"/>
        <w:rPr>
          <w:rFonts w:eastAsia="Times New Roman" w:cs="Times New Roman"/>
          <w:b/>
          <w:bCs/>
          <w:i/>
          <w:iCs/>
          <w:kern w:val="0"/>
          <w:sz w:val="24"/>
          <w:szCs w:val="24"/>
          <w:lang w:val="id-ID" w:eastAsia="id-ID"/>
          <w14:ligatures w14:val="none"/>
        </w:rPr>
      </w:pPr>
      <w:proofErr w:type="spellStart"/>
      <w:r w:rsidRPr="00895589">
        <w:rPr>
          <w:rFonts w:eastAsia="Times New Roman" w:cs="Times New Roman"/>
          <w:b/>
          <w:bCs/>
          <w:i/>
          <w:iCs/>
          <w:kern w:val="0"/>
          <w:sz w:val="24"/>
          <w:szCs w:val="24"/>
          <w:lang w:val="id-ID" w:eastAsia="id-ID"/>
          <w14:ligatures w14:val="none"/>
        </w:rPr>
        <w:t>Ethical</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Approval</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and</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Originality</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Statement</w:t>
      </w:r>
      <w:proofErr w:type="spellEnd"/>
    </w:p>
    <w:p w14:paraId="1FD77B2C" w14:textId="2731EE93" w:rsidR="00E02BA0" w:rsidRPr="00895589" w:rsidRDefault="00E02BA0" w:rsidP="00E02BA0">
      <w:pPr>
        <w:ind w:firstLine="0"/>
        <w:rPr>
          <w:rFonts w:eastAsia="Times New Roman" w:cs="Times New Roman"/>
          <w:kern w:val="0"/>
          <w:lang w:val="id-ID" w:eastAsia="id-ID"/>
          <w14:ligatures w14:val="none"/>
        </w:rPr>
      </w:pPr>
      <w:proofErr w:type="spellStart"/>
      <w:r w:rsidRPr="00895589">
        <w:rPr>
          <w:rFonts w:eastAsia="Times New Roman" w:cs="Times New Roman"/>
          <w:kern w:val="0"/>
          <w:lang w:val="id-ID" w:eastAsia="id-ID"/>
          <w14:ligatures w14:val="none"/>
        </w:rPr>
        <w:t>Ethical</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approval</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was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obtained</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for</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this</w:t>
      </w:r>
      <w:proofErr w:type="spellEnd"/>
      <w:r w:rsidRPr="00895589">
        <w:rPr>
          <w:rFonts w:eastAsia="Times New Roman" w:cs="Times New Roman"/>
          <w:kern w:val="0"/>
          <w:lang w:val="id-ID" w:eastAsia="id-ID"/>
          <w14:ligatures w14:val="none"/>
        </w:rPr>
        <w:t xml:space="preserve"> study. The </w:t>
      </w:r>
      <w:proofErr w:type="spellStart"/>
      <w:r w:rsidRPr="00895589">
        <w:rPr>
          <w:rFonts w:eastAsia="Times New Roman" w:cs="Times New Roman"/>
          <w:kern w:val="0"/>
          <w:lang w:val="id-ID" w:eastAsia="id-ID"/>
          <w14:ligatures w14:val="none"/>
        </w:rPr>
        <w:t>manuscript</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represents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original</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work</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and</w:t>
      </w:r>
      <w:proofErr w:type="spellEnd"/>
      <w:r w:rsidRPr="00895589">
        <w:rPr>
          <w:rFonts w:eastAsia="Times New Roman" w:cs="Times New Roman"/>
          <w:kern w:val="0"/>
          <w:lang w:val="id-ID" w:eastAsia="id-ID"/>
          <w14:ligatures w14:val="none"/>
        </w:rPr>
        <w:t xml:space="preserve"> has not </w:t>
      </w:r>
      <w:proofErr w:type="spellStart"/>
      <w:r w:rsidRPr="00895589">
        <w:rPr>
          <w:rFonts w:eastAsia="Times New Roman" w:cs="Times New Roman"/>
          <w:kern w:val="0"/>
          <w:lang w:val="id-ID" w:eastAsia="id-ID"/>
          <w14:ligatures w14:val="none"/>
        </w:rPr>
        <w:t>been</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previously</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published</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nor</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is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it</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under</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consideration</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by</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another</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journal</w:t>
      </w:r>
      <w:proofErr w:type="spellEnd"/>
      <w:r w:rsidRPr="00895589">
        <w:rPr>
          <w:rFonts w:eastAsia="Times New Roman" w:cs="Times New Roman"/>
          <w:kern w:val="0"/>
          <w:lang w:val="id-ID" w:eastAsia="id-ID"/>
          <w14:ligatures w14:val="none"/>
        </w:rPr>
        <w:t>.</w:t>
      </w:r>
    </w:p>
    <w:p w14:paraId="419A3BF8" w14:textId="77777777" w:rsidR="00E02BA0" w:rsidRPr="00895589" w:rsidRDefault="00E02BA0" w:rsidP="00E02BA0">
      <w:pPr>
        <w:ind w:firstLine="0"/>
        <w:rPr>
          <w:rFonts w:eastAsia="Times New Roman" w:cs="Times New Roman"/>
          <w:kern w:val="0"/>
          <w:lang w:val="id-ID" w:eastAsia="id-ID"/>
          <w14:ligatures w14:val="none"/>
        </w:rPr>
      </w:pPr>
    </w:p>
    <w:p w14:paraId="5EF9A4B0" w14:textId="77777777" w:rsidR="00E02BA0" w:rsidRPr="00895589" w:rsidRDefault="00E02BA0" w:rsidP="00E02BA0">
      <w:pPr>
        <w:ind w:firstLine="0"/>
        <w:rPr>
          <w:rFonts w:eastAsia="Times New Roman" w:cs="Times New Roman"/>
          <w:b/>
          <w:bCs/>
          <w:i/>
          <w:iCs/>
          <w:kern w:val="0"/>
          <w:sz w:val="24"/>
          <w:szCs w:val="24"/>
          <w:lang w:val="id-ID" w:eastAsia="id-ID"/>
          <w14:ligatures w14:val="none"/>
        </w:rPr>
      </w:pPr>
      <w:r w:rsidRPr="00895589">
        <w:rPr>
          <w:rFonts w:eastAsia="Times New Roman" w:cs="Times New Roman"/>
          <w:b/>
          <w:bCs/>
          <w:i/>
          <w:iCs/>
          <w:kern w:val="0"/>
          <w:sz w:val="24"/>
          <w:szCs w:val="24"/>
          <w:lang w:val="id-ID" w:eastAsia="id-ID"/>
          <w14:ligatures w14:val="none"/>
        </w:rPr>
        <w:t xml:space="preserve">Data </w:t>
      </w:r>
      <w:proofErr w:type="spellStart"/>
      <w:r w:rsidRPr="00895589">
        <w:rPr>
          <w:rFonts w:eastAsia="Times New Roman" w:cs="Times New Roman"/>
          <w:b/>
          <w:bCs/>
          <w:i/>
          <w:iCs/>
          <w:kern w:val="0"/>
          <w:sz w:val="24"/>
          <w:szCs w:val="24"/>
          <w:lang w:val="id-ID" w:eastAsia="id-ID"/>
          <w14:ligatures w14:val="none"/>
        </w:rPr>
        <w:t>Disclosure</w:t>
      </w:r>
      <w:proofErr w:type="spellEnd"/>
      <w:r w:rsidRPr="00895589">
        <w:rPr>
          <w:rFonts w:eastAsia="Times New Roman" w:cs="Times New Roman"/>
          <w:b/>
          <w:bCs/>
          <w:i/>
          <w:iCs/>
          <w:kern w:val="0"/>
          <w:sz w:val="24"/>
          <w:szCs w:val="24"/>
          <w:lang w:val="id-ID" w:eastAsia="id-ID"/>
          <w14:ligatures w14:val="none"/>
        </w:rPr>
        <w:t xml:space="preserve"> </w:t>
      </w:r>
      <w:proofErr w:type="spellStart"/>
      <w:r w:rsidRPr="00895589">
        <w:rPr>
          <w:rFonts w:eastAsia="Times New Roman" w:cs="Times New Roman"/>
          <w:b/>
          <w:bCs/>
          <w:i/>
          <w:iCs/>
          <w:kern w:val="0"/>
          <w:sz w:val="24"/>
          <w:szCs w:val="24"/>
          <w:lang w:val="id-ID" w:eastAsia="id-ID"/>
          <w14:ligatures w14:val="none"/>
        </w:rPr>
        <w:t>Statement</w:t>
      </w:r>
      <w:proofErr w:type="spellEnd"/>
    </w:p>
    <w:p w14:paraId="289D1835" w14:textId="2A2FEBD3" w:rsidR="00E02BA0" w:rsidRPr="00895589" w:rsidRDefault="00E02BA0" w:rsidP="00E02BA0">
      <w:pPr>
        <w:ind w:firstLine="0"/>
        <w:rPr>
          <w:rFonts w:eastAsia="Times New Roman" w:cs="Times New Roman"/>
          <w:kern w:val="0"/>
          <w:lang w:val="id-ID" w:eastAsia="id-ID"/>
          <w14:ligatures w14:val="none"/>
        </w:rPr>
      </w:pPr>
      <w:r w:rsidRPr="00895589">
        <w:rPr>
          <w:rFonts w:eastAsia="Times New Roman" w:cs="Times New Roman"/>
          <w:kern w:val="0"/>
          <w:lang w:val="id-ID" w:eastAsia="id-ID"/>
          <w14:ligatures w14:val="none"/>
        </w:rPr>
        <w:t xml:space="preserve">The data </w:t>
      </w:r>
      <w:proofErr w:type="spellStart"/>
      <w:r w:rsidRPr="00895589">
        <w:rPr>
          <w:rFonts w:eastAsia="Times New Roman" w:cs="Times New Roman"/>
          <w:kern w:val="0"/>
          <w:lang w:val="id-ID" w:eastAsia="id-ID"/>
          <w14:ligatures w14:val="none"/>
        </w:rPr>
        <w:t>that</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support</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findings</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of</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this</w:t>
      </w:r>
      <w:proofErr w:type="spellEnd"/>
      <w:r w:rsidRPr="00895589">
        <w:rPr>
          <w:rFonts w:eastAsia="Times New Roman" w:cs="Times New Roman"/>
          <w:kern w:val="0"/>
          <w:lang w:val="id-ID" w:eastAsia="id-ID"/>
          <w14:ligatures w14:val="none"/>
        </w:rPr>
        <w:t xml:space="preserve"> study are </w:t>
      </w:r>
      <w:proofErr w:type="spellStart"/>
      <w:r w:rsidRPr="00895589">
        <w:rPr>
          <w:rFonts w:eastAsia="Times New Roman" w:cs="Times New Roman"/>
          <w:kern w:val="0"/>
          <w:lang w:val="id-ID" w:eastAsia="id-ID"/>
          <w14:ligatures w14:val="none"/>
        </w:rPr>
        <w:t>available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from</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the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corresponding</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author</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upon</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reasonable</w:t>
      </w:r>
      <w:proofErr w:type="spellEnd"/>
      <w:r w:rsidRPr="00895589">
        <w:rPr>
          <w:rFonts w:eastAsia="Times New Roman" w:cs="Times New Roman"/>
          <w:kern w:val="0"/>
          <w:lang w:val="id-ID" w:eastAsia="id-ID"/>
          <w14:ligatures w14:val="none"/>
        </w:rPr>
        <w:t xml:space="preserve"> </w:t>
      </w:r>
      <w:proofErr w:type="spellStart"/>
      <w:r w:rsidRPr="00895589">
        <w:rPr>
          <w:rFonts w:eastAsia="Times New Roman" w:cs="Times New Roman"/>
          <w:kern w:val="0"/>
          <w:lang w:val="id-ID" w:eastAsia="id-ID"/>
          <w14:ligatures w14:val="none"/>
        </w:rPr>
        <w:t>request</w:t>
      </w:r>
      <w:proofErr w:type="spellEnd"/>
      <w:r w:rsidRPr="00895589">
        <w:rPr>
          <w:rFonts w:eastAsia="Times New Roman" w:cs="Times New Roman"/>
          <w:kern w:val="0"/>
          <w:lang w:val="id-ID" w:eastAsia="id-ID"/>
          <w14:ligatures w14:val="none"/>
        </w:rPr>
        <w:t>.</w:t>
      </w:r>
    </w:p>
    <w:p w14:paraId="6BDA7A56" w14:textId="77777777" w:rsidR="00E02BA0" w:rsidRPr="00895589" w:rsidRDefault="00E02BA0" w:rsidP="00E02BA0">
      <w:pPr>
        <w:ind w:firstLine="0"/>
      </w:pPr>
    </w:p>
    <w:p w14:paraId="4EEDE618" w14:textId="17A0FFA9" w:rsidR="0034370C" w:rsidRPr="00895589" w:rsidRDefault="0034370C" w:rsidP="00DF21F8"/>
    <w:p w14:paraId="69AF6CAA" w14:textId="7AD4C0F3" w:rsidR="00DF21F8" w:rsidRPr="00895589" w:rsidRDefault="00DF21F8" w:rsidP="00DF21F8"/>
    <w:p w14:paraId="4EFB1234" w14:textId="10F62C56" w:rsidR="00006371" w:rsidRPr="00895589" w:rsidRDefault="00006371" w:rsidP="00DF21F8"/>
    <w:p w14:paraId="0CE82F20" w14:textId="426483B7" w:rsidR="00006371" w:rsidRPr="00895589" w:rsidRDefault="00006371" w:rsidP="00DF21F8"/>
    <w:p w14:paraId="5E7A3F2D" w14:textId="12D68515" w:rsidR="00006371" w:rsidRPr="00895589" w:rsidRDefault="00006371" w:rsidP="00DF21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3D2CB8" w14:paraId="44B765AE" w14:textId="77777777" w:rsidTr="006F7381">
        <w:tc>
          <w:tcPr>
            <w:tcW w:w="7473" w:type="dxa"/>
          </w:tcPr>
          <w:p w14:paraId="4AC499EE" w14:textId="6EB220B6" w:rsidR="003D2CB8" w:rsidRPr="00895589" w:rsidRDefault="00AD5C39" w:rsidP="003D2CB8">
            <w:pPr>
              <w:pStyle w:val="NoSpacing"/>
              <w:jc w:val="left"/>
              <w:rPr>
                <w:szCs w:val="20"/>
              </w:rPr>
            </w:pPr>
            <w:r w:rsidRPr="00895589">
              <w:rPr>
                <w:noProof/>
              </w:rPr>
              <w:drawing>
                <wp:inline distT="0" distB="0" distL="0" distR="0" wp14:anchorId="429DCB58" wp14:editId="3A8ED818">
                  <wp:extent cx="843280" cy="297180"/>
                  <wp:effectExtent l="0" t="0" r="0" b="7620"/>
                  <wp:docPr id="1586328265" name="Picture 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p>
          <w:p w14:paraId="73521181" w14:textId="77777777" w:rsidR="003D2CB8" w:rsidRPr="00895589" w:rsidRDefault="003D2CB8" w:rsidP="003D2CB8">
            <w:pPr>
              <w:pStyle w:val="NoSpacing"/>
              <w:jc w:val="left"/>
              <w:rPr>
                <w:szCs w:val="20"/>
              </w:rPr>
            </w:pPr>
          </w:p>
          <w:p w14:paraId="7E0E2E22" w14:textId="41A94DFE" w:rsidR="002C4CFA" w:rsidRPr="00895589" w:rsidRDefault="003D2CB8" w:rsidP="00E02BA0">
            <w:pPr>
              <w:pStyle w:val="NoSpacing"/>
              <w:jc w:val="left"/>
              <w:rPr>
                <w:szCs w:val="20"/>
              </w:rPr>
            </w:pPr>
            <w:r w:rsidRPr="00895589">
              <w:rPr>
                <w:szCs w:val="20"/>
              </w:rPr>
              <w:t>Copyright: © 202</w:t>
            </w:r>
            <w:r w:rsidR="00544261" w:rsidRPr="00895589">
              <w:rPr>
                <w:szCs w:val="20"/>
              </w:rPr>
              <w:t>6</w:t>
            </w:r>
            <w:r w:rsidRPr="00895589">
              <w:rPr>
                <w:szCs w:val="20"/>
              </w:rPr>
              <w:t xml:space="preserve"> by the authors. </w:t>
            </w:r>
          </w:p>
          <w:p w14:paraId="22C0422C" w14:textId="2E4C4F21" w:rsidR="009E3DCC" w:rsidRDefault="0024139D" w:rsidP="00E02BA0">
            <w:pPr>
              <w:pStyle w:val="NoSpacing"/>
              <w:jc w:val="left"/>
            </w:pPr>
            <w:r w:rsidRPr="00895589">
              <w:rPr>
                <w:szCs w:val="20"/>
              </w:rPr>
              <w:t xml:space="preserve">This work is licensed under </w:t>
            </w:r>
            <w:r w:rsidR="003D2CB8" w:rsidRPr="00895589">
              <w:rPr>
                <w:szCs w:val="20"/>
              </w:rPr>
              <w:t xml:space="preserve">the terms and conditions of the </w:t>
            </w:r>
            <w:r w:rsidR="00754BF2" w:rsidRPr="00895589">
              <w:rPr>
                <w:szCs w:val="20"/>
              </w:rPr>
              <w:t>Creative Commons Attribution-</w:t>
            </w:r>
            <w:proofErr w:type="spellStart"/>
            <w:r w:rsidR="00754BF2" w:rsidRPr="00895589">
              <w:rPr>
                <w:szCs w:val="20"/>
              </w:rPr>
              <w:t>ShareAlike</w:t>
            </w:r>
            <w:proofErr w:type="spellEnd"/>
            <w:r w:rsidR="00754BF2" w:rsidRPr="00895589">
              <w:rPr>
                <w:szCs w:val="20"/>
              </w:rPr>
              <w:t xml:space="preserve"> 4.0 International License (</w:t>
            </w:r>
            <w:hyperlink r:id="rId34" w:history="1">
              <w:r w:rsidR="00754BF2" w:rsidRPr="00895589">
                <w:rPr>
                  <w:rStyle w:val="Hyperlink"/>
                  <w:szCs w:val="20"/>
                </w:rPr>
                <w:t>https://creativecommons.org/licenses/by-sa/4.0/</w:t>
              </w:r>
            </w:hyperlink>
            <w:r w:rsidR="00754BF2" w:rsidRPr="00895589">
              <w:rPr>
                <w:szCs w:val="20"/>
              </w:rPr>
              <w:t>).</w:t>
            </w:r>
          </w:p>
        </w:tc>
      </w:tr>
    </w:tbl>
    <w:p w14:paraId="3212A622" w14:textId="27E78174" w:rsidR="00DF21F8" w:rsidRDefault="00DF21F8" w:rsidP="00006371">
      <w:pPr>
        <w:ind w:firstLine="0"/>
      </w:pPr>
    </w:p>
    <w:sectPr w:rsidR="00DF21F8" w:rsidSect="00DE0357">
      <w:pgSz w:w="11906" w:h="16838" w:code="9"/>
      <w:pgMar w:top="2268" w:right="1021" w:bottom="1134" w:left="3402"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739F" w14:textId="77777777" w:rsidR="00504C24" w:rsidRDefault="00504C24" w:rsidP="00AA2969">
      <w:r>
        <w:separator/>
      </w:r>
    </w:p>
  </w:endnote>
  <w:endnote w:type="continuationSeparator" w:id="0">
    <w:p w14:paraId="39481F58" w14:textId="77777777" w:rsidR="00504C24" w:rsidRDefault="00504C24" w:rsidP="00AA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013494606"/>
      <w:docPartObj>
        <w:docPartGallery w:val="Page Numbers (Bottom of Page)"/>
        <w:docPartUnique/>
      </w:docPartObj>
    </w:sdtPr>
    <w:sdtEndPr>
      <w:rPr>
        <w:noProof/>
      </w:rPr>
    </w:sdtEndPr>
    <w:sdtContent>
      <w:p w14:paraId="47BF37D8" w14:textId="6E29B3BF" w:rsidR="00811883" w:rsidRPr="008E6B9B" w:rsidRDefault="003074FC" w:rsidP="00ED4A6E">
        <w:pPr>
          <w:pStyle w:val="NoSpacing"/>
          <w:rPr>
            <w:b/>
            <w:bCs/>
          </w:rPr>
        </w:pPr>
        <w:r w:rsidRPr="008E6B9B">
          <w:rPr>
            <w:b/>
            <w:bCs/>
          </w:rPr>
          <w:fldChar w:fldCharType="begin"/>
        </w:r>
        <w:r w:rsidRPr="008E6B9B">
          <w:rPr>
            <w:b/>
            <w:bCs/>
          </w:rPr>
          <w:instrText xml:space="preserve"> PAGE   \* MERGEFORMAT </w:instrText>
        </w:r>
        <w:r w:rsidRPr="008E6B9B">
          <w:rPr>
            <w:b/>
            <w:bCs/>
          </w:rPr>
          <w:fldChar w:fldCharType="separate"/>
        </w:r>
        <w:r w:rsidRPr="008E6B9B">
          <w:rPr>
            <w:b/>
            <w:bCs/>
            <w:noProof/>
          </w:rPr>
          <w:t>2</w:t>
        </w:r>
        <w:r w:rsidRPr="008E6B9B">
          <w:rPr>
            <w:b/>
            <w:bCs/>
            <w:noProof/>
          </w:rPr>
          <w:fldChar w:fldCharType="end"/>
        </w:r>
        <w:r w:rsidR="008E6B9B" w:rsidRPr="008E6B9B">
          <w:rPr>
            <w:b/>
            <w:bCs/>
            <w:noProof/>
          </w:rPr>
          <w:t xml:space="preserve"> | </w:t>
        </w:r>
        <w:r w:rsidR="00D05CC2" w:rsidRPr="00D05CC2">
          <w:rPr>
            <w:i/>
            <w:iCs/>
            <w:noProof/>
          </w:rPr>
          <w:t>Research Horizon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491265722"/>
      <w:docPartObj>
        <w:docPartGallery w:val="Page Numbers (Bottom of Page)"/>
        <w:docPartUnique/>
      </w:docPartObj>
    </w:sdtPr>
    <w:sdtEndPr>
      <w:rPr>
        <w:noProof/>
      </w:rPr>
    </w:sdtEndPr>
    <w:sdtContent>
      <w:p w14:paraId="3C1FDD86" w14:textId="30F77BDD" w:rsidR="00811883" w:rsidRPr="007D709C" w:rsidRDefault="008E6B9B" w:rsidP="00ED4A6E">
        <w:pPr>
          <w:pStyle w:val="NoSpacing"/>
          <w:jc w:val="right"/>
          <w:rPr>
            <w:b/>
            <w:bCs/>
            <w:i/>
            <w:iCs/>
            <w:lang w:val="it-IT"/>
          </w:rPr>
        </w:pPr>
        <w:r w:rsidRPr="007D709C">
          <w:rPr>
            <w:i/>
            <w:iCs/>
            <w:lang w:val="it-IT"/>
          </w:rPr>
          <w:t xml:space="preserve">Vol. </w:t>
        </w:r>
        <w:r w:rsidR="003C24F1">
          <w:rPr>
            <w:i/>
            <w:iCs/>
            <w:lang w:val="it-IT"/>
          </w:rPr>
          <w:t>6</w:t>
        </w:r>
        <w:r w:rsidRPr="007D709C">
          <w:rPr>
            <w:i/>
            <w:iCs/>
            <w:lang w:val="it-IT"/>
          </w:rPr>
          <w:t xml:space="preserve">, No. </w:t>
        </w:r>
        <w:r w:rsidR="003C24F1">
          <w:rPr>
            <w:i/>
            <w:iCs/>
            <w:lang w:val="it-IT"/>
          </w:rPr>
          <w:t>3</w:t>
        </w:r>
        <w:r w:rsidRPr="007D709C">
          <w:rPr>
            <w:i/>
            <w:iCs/>
            <w:lang w:val="it-IT"/>
          </w:rPr>
          <w:t xml:space="preserve"> (</w:t>
        </w:r>
        <w:r w:rsidR="003C24F1">
          <w:rPr>
            <w:i/>
            <w:iCs/>
            <w:lang w:val="it-IT"/>
          </w:rPr>
          <w:t>2026</w:t>
        </w:r>
        <w:r w:rsidRPr="007D709C">
          <w:rPr>
            <w:i/>
            <w:iCs/>
            <w:lang w:val="it-IT"/>
          </w:rPr>
          <w:t xml:space="preserve">), </w:t>
        </w:r>
        <w:r w:rsidR="003C24F1" w:rsidRPr="003C24F1">
          <w:rPr>
            <w:i/>
            <w:iCs/>
            <w:lang w:val="it-IT"/>
          </w:rPr>
          <w:t>1465-1476</w:t>
        </w:r>
        <w:r w:rsidR="00CD66BB" w:rsidRPr="007D709C">
          <w:rPr>
            <w:b/>
            <w:bCs/>
            <w:i/>
            <w:iCs/>
            <w:lang w:val="it-IT"/>
          </w:rPr>
          <w:t xml:space="preserve"> </w:t>
        </w:r>
        <w:r w:rsidRPr="007D709C">
          <w:rPr>
            <w:b/>
            <w:bCs/>
            <w:lang w:val="it-IT"/>
          </w:rPr>
          <w:t xml:space="preserve">| </w:t>
        </w:r>
        <w:r w:rsidR="003074FC" w:rsidRPr="00CD66BB">
          <w:rPr>
            <w:b/>
            <w:bCs/>
          </w:rPr>
          <w:fldChar w:fldCharType="begin"/>
        </w:r>
        <w:r w:rsidR="003074FC" w:rsidRPr="007D709C">
          <w:rPr>
            <w:b/>
            <w:bCs/>
            <w:lang w:val="it-IT"/>
          </w:rPr>
          <w:instrText xml:space="preserve"> PAGE   \* MERGEFORMAT </w:instrText>
        </w:r>
        <w:r w:rsidR="003074FC" w:rsidRPr="00CD66BB">
          <w:rPr>
            <w:b/>
            <w:bCs/>
          </w:rPr>
          <w:fldChar w:fldCharType="separate"/>
        </w:r>
        <w:r w:rsidR="003074FC" w:rsidRPr="007D709C">
          <w:rPr>
            <w:b/>
            <w:bCs/>
            <w:noProof/>
            <w:lang w:val="it-IT"/>
          </w:rPr>
          <w:t>2</w:t>
        </w:r>
        <w:r w:rsidR="003074FC" w:rsidRPr="00CD66BB">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595E" w14:textId="77777777" w:rsidR="00504C24" w:rsidRDefault="00504C24" w:rsidP="00AA2969">
      <w:r>
        <w:separator/>
      </w:r>
    </w:p>
  </w:footnote>
  <w:footnote w:type="continuationSeparator" w:id="0">
    <w:p w14:paraId="0C84F547" w14:textId="77777777" w:rsidR="00504C24" w:rsidRDefault="00504C24" w:rsidP="00AA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C877" w14:textId="52275BA8" w:rsidR="00E21B15" w:rsidRPr="002B4929" w:rsidRDefault="002B4929" w:rsidP="002B4929">
    <w:pPr>
      <w:pStyle w:val="Header"/>
      <w:ind w:firstLine="0"/>
      <w:rPr>
        <w:lang w:val="it-IT"/>
      </w:rPr>
    </w:pPr>
    <w:r w:rsidRPr="002B4929">
      <w:rPr>
        <w:lang w:val="it-IT"/>
      </w:rPr>
      <w:t>Azelya Rindu Irmafesya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2905" w14:textId="3381E453" w:rsidR="0078028D" w:rsidRPr="00281EE6" w:rsidRDefault="00CD2CED" w:rsidP="00281EE6">
    <w:pPr>
      <w:pStyle w:val="NoSpacing"/>
      <w:jc w:val="right"/>
    </w:pPr>
    <w:r w:rsidRPr="00CD2CED">
      <w:rPr>
        <w:i/>
        <w:iCs/>
      </w:rPr>
      <w:t>Correlation of Short Axial Axis of the Eyeball with Visual Outcome Post-Cataract</w:t>
    </w:r>
    <w:r>
      <w:rPr>
        <w:i/>
        <w:iC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946ABC" w:rsidRPr="0066461D" w14:paraId="7E34987F" w14:textId="77777777" w:rsidTr="001519FD">
      <w:tc>
        <w:tcPr>
          <w:tcW w:w="10207" w:type="dxa"/>
        </w:tcPr>
        <w:p w14:paraId="4ED28B3E" w14:textId="78219E17" w:rsidR="00946ABC" w:rsidRPr="00AC01C6" w:rsidRDefault="00C60D26" w:rsidP="001519FD">
          <w:pPr>
            <w:pStyle w:val="NoSpacing"/>
            <w:jc w:val="left"/>
            <w:rPr>
              <w:b/>
              <w:bCs/>
              <w:sz w:val="70"/>
              <w:szCs w:val="70"/>
            </w:rPr>
          </w:pPr>
          <w:r w:rsidRPr="00AC01C6">
            <w:rPr>
              <w:b/>
              <w:bCs/>
              <w:sz w:val="70"/>
              <w:szCs w:val="70"/>
            </w:rPr>
            <w:t>Research Horizon</w:t>
          </w:r>
        </w:p>
      </w:tc>
    </w:tr>
    <w:tr w:rsidR="00056D8D" w:rsidRPr="00056D8D" w14:paraId="44570904" w14:textId="77777777" w:rsidTr="001519FD">
      <w:tc>
        <w:tcPr>
          <w:tcW w:w="10207" w:type="dxa"/>
        </w:tcPr>
        <w:p w14:paraId="2A601D76" w14:textId="1B311002" w:rsidR="00056D8D" w:rsidRPr="00BB54F5" w:rsidRDefault="007A7CFA" w:rsidP="001519FD">
          <w:pPr>
            <w:pStyle w:val="NoSpacing"/>
            <w:jc w:val="left"/>
            <w:rPr>
              <w:b/>
              <w:bCs/>
              <w:i/>
              <w:iCs/>
            </w:rPr>
          </w:pPr>
          <w:r w:rsidRPr="00BB54F5">
            <w:rPr>
              <w:b/>
              <w:bCs/>
              <w:i/>
              <w:iCs/>
            </w:rPr>
            <w:t xml:space="preserve">ISSN: </w:t>
          </w:r>
          <w:r w:rsidR="00815EA6" w:rsidRPr="00815EA6">
            <w:rPr>
              <w:b/>
              <w:bCs/>
              <w:i/>
              <w:iCs/>
            </w:rPr>
            <w:t xml:space="preserve">2808-0696 </w:t>
          </w:r>
          <w:r w:rsidRPr="00BB54F5">
            <w:rPr>
              <w:b/>
              <w:bCs/>
              <w:i/>
              <w:iCs/>
            </w:rPr>
            <w:t xml:space="preserve">(p), </w:t>
          </w:r>
          <w:r w:rsidR="00815EA6" w:rsidRPr="00815EA6">
            <w:rPr>
              <w:b/>
              <w:bCs/>
              <w:i/>
              <w:iCs/>
            </w:rPr>
            <w:t xml:space="preserve">2807-9531 </w:t>
          </w:r>
          <w:r w:rsidRPr="00BB54F5">
            <w:rPr>
              <w:b/>
              <w:bCs/>
              <w:i/>
              <w:iCs/>
            </w:rPr>
            <w:t>(e)</w:t>
          </w:r>
        </w:p>
      </w:tc>
    </w:tr>
  </w:tbl>
  <w:p w14:paraId="42DC3F7D" w14:textId="504C7E9E" w:rsidR="009D0420" w:rsidRDefault="009D0420" w:rsidP="008B289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6DEE"/>
    <w:multiLevelType w:val="hybridMultilevel"/>
    <w:tmpl w:val="344A7224"/>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24271B05"/>
    <w:multiLevelType w:val="hybridMultilevel"/>
    <w:tmpl w:val="970E7A26"/>
    <w:lvl w:ilvl="0" w:tplc="48821B38">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3BB12F1B"/>
    <w:multiLevelType w:val="hybridMultilevel"/>
    <w:tmpl w:val="1CFE8A00"/>
    <w:lvl w:ilvl="0" w:tplc="48821B38">
      <w:start w:val="1"/>
      <w:numFmt w:val="decimal"/>
      <w:lvlText w:val="%1."/>
      <w:lvlJc w:val="left"/>
      <w:pPr>
        <w:ind w:left="719" w:hanging="435"/>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3CA304CD"/>
    <w:multiLevelType w:val="hybridMultilevel"/>
    <w:tmpl w:val="A0AC8DB4"/>
    <w:lvl w:ilvl="0" w:tplc="48821B38">
      <w:start w:val="1"/>
      <w:numFmt w:val="decimal"/>
      <w:lvlText w:val="%1."/>
      <w:lvlJc w:val="left"/>
      <w:pPr>
        <w:ind w:left="1003" w:hanging="435"/>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936599741">
    <w:abstractNumId w:val="0"/>
  </w:num>
  <w:num w:numId="2" w16cid:durableId="2047482525">
    <w:abstractNumId w:val="1"/>
  </w:num>
  <w:num w:numId="3" w16cid:durableId="200094375">
    <w:abstractNumId w:val="3"/>
  </w:num>
  <w:num w:numId="4" w16cid:durableId="586034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Mjc1NrUwNjcxNTZS0lEKTi0uzszPAymwqAUApzm+XCwAAAA="/>
  </w:docVars>
  <w:rsids>
    <w:rsidRoot w:val="000B4FC8"/>
    <w:rsid w:val="0000345E"/>
    <w:rsid w:val="000045FC"/>
    <w:rsid w:val="00005030"/>
    <w:rsid w:val="00005615"/>
    <w:rsid w:val="00006371"/>
    <w:rsid w:val="000116F2"/>
    <w:rsid w:val="0001207E"/>
    <w:rsid w:val="000129E3"/>
    <w:rsid w:val="0001413C"/>
    <w:rsid w:val="00014C29"/>
    <w:rsid w:val="0001595B"/>
    <w:rsid w:val="00015F4E"/>
    <w:rsid w:val="000166FC"/>
    <w:rsid w:val="00021FA1"/>
    <w:rsid w:val="00024BFB"/>
    <w:rsid w:val="00031512"/>
    <w:rsid w:val="0004319F"/>
    <w:rsid w:val="0004582A"/>
    <w:rsid w:val="00050A98"/>
    <w:rsid w:val="00056250"/>
    <w:rsid w:val="000562C6"/>
    <w:rsid w:val="00056D8D"/>
    <w:rsid w:val="000606D5"/>
    <w:rsid w:val="0006534F"/>
    <w:rsid w:val="00071F53"/>
    <w:rsid w:val="00077DBC"/>
    <w:rsid w:val="00081749"/>
    <w:rsid w:val="000830E7"/>
    <w:rsid w:val="00084AF4"/>
    <w:rsid w:val="000856C2"/>
    <w:rsid w:val="000857FF"/>
    <w:rsid w:val="0008719C"/>
    <w:rsid w:val="00093649"/>
    <w:rsid w:val="000A547E"/>
    <w:rsid w:val="000B1F68"/>
    <w:rsid w:val="000B3243"/>
    <w:rsid w:val="000B4FC8"/>
    <w:rsid w:val="000B71CE"/>
    <w:rsid w:val="000C0790"/>
    <w:rsid w:val="000C1CB8"/>
    <w:rsid w:val="000C43A2"/>
    <w:rsid w:val="000C68C9"/>
    <w:rsid w:val="000C7078"/>
    <w:rsid w:val="000E2C77"/>
    <w:rsid w:val="000E3510"/>
    <w:rsid w:val="000E4E3D"/>
    <w:rsid w:val="000E6B5E"/>
    <w:rsid w:val="000E6B9F"/>
    <w:rsid w:val="000E6C43"/>
    <w:rsid w:val="000F0D72"/>
    <w:rsid w:val="000F3A6C"/>
    <w:rsid w:val="000F6B07"/>
    <w:rsid w:val="001035F3"/>
    <w:rsid w:val="00112963"/>
    <w:rsid w:val="00114397"/>
    <w:rsid w:val="001249FC"/>
    <w:rsid w:val="00125057"/>
    <w:rsid w:val="001253F5"/>
    <w:rsid w:val="0012613B"/>
    <w:rsid w:val="00130D4F"/>
    <w:rsid w:val="00134105"/>
    <w:rsid w:val="00136562"/>
    <w:rsid w:val="0013699F"/>
    <w:rsid w:val="00143500"/>
    <w:rsid w:val="00144B33"/>
    <w:rsid w:val="00145E67"/>
    <w:rsid w:val="00150BD0"/>
    <w:rsid w:val="00150E5D"/>
    <w:rsid w:val="001519FD"/>
    <w:rsid w:val="00162E62"/>
    <w:rsid w:val="0016326A"/>
    <w:rsid w:val="001636FB"/>
    <w:rsid w:val="0016541A"/>
    <w:rsid w:val="00167214"/>
    <w:rsid w:val="001734C2"/>
    <w:rsid w:val="0017767A"/>
    <w:rsid w:val="00177FB7"/>
    <w:rsid w:val="0018299F"/>
    <w:rsid w:val="00187F2F"/>
    <w:rsid w:val="00190F78"/>
    <w:rsid w:val="00191702"/>
    <w:rsid w:val="0019581E"/>
    <w:rsid w:val="0019650E"/>
    <w:rsid w:val="00197618"/>
    <w:rsid w:val="001A11B9"/>
    <w:rsid w:val="001A251D"/>
    <w:rsid w:val="001A2E28"/>
    <w:rsid w:val="001A39CE"/>
    <w:rsid w:val="001A5A00"/>
    <w:rsid w:val="001A5BE7"/>
    <w:rsid w:val="001A6E10"/>
    <w:rsid w:val="001B4820"/>
    <w:rsid w:val="001B4C5C"/>
    <w:rsid w:val="001B644C"/>
    <w:rsid w:val="001C0D80"/>
    <w:rsid w:val="001C17FF"/>
    <w:rsid w:val="001C3F90"/>
    <w:rsid w:val="001C60A3"/>
    <w:rsid w:val="001C7651"/>
    <w:rsid w:val="001D4063"/>
    <w:rsid w:val="001D7941"/>
    <w:rsid w:val="001E1E24"/>
    <w:rsid w:val="001E28A6"/>
    <w:rsid w:val="001E3037"/>
    <w:rsid w:val="001E3CD7"/>
    <w:rsid w:val="001E5D30"/>
    <w:rsid w:val="001E6769"/>
    <w:rsid w:val="001F01B8"/>
    <w:rsid w:val="001F1565"/>
    <w:rsid w:val="001F459E"/>
    <w:rsid w:val="001F4F32"/>
    <w:rsid w:val="001F50C3"/>
    <w:rsid w:val="0020671E"/>
    <w:rsid w:val="002140AA"/>
    <w:rsid w:val="0021499B"/>
    <w:rsid w:val="0022003C"/>
    <w:rsid w:val="00223247"/>
    <w:rsid w:val="00224D0C"/>
    <w:rsid w:val="00225EBF"/>
    <w:rsid w:val="00232A15"/>
    <w:rsid w:val="00232C6B"/>
    <w:rsid w:val="002330EC"/>
    <w:rsid w:val="002336C9"/>
    <w:rsid w:val="0023765D"/>
    <w:rsid w:val="0024139D"/>
    <w:rsid w:val="002440A7"/>
    <w:rsid w:val="00245076"/>
    <w:rsid w:val="002464D0"/>
    <w:rsid w:val="002506FD"/>
    <w:rsid w:val="002533F6"/>
    <w:rsid w:val="00263A00"/>
    <w:rsid w:val="00264218"/>
    <w:rsid w:val="002655D6"/>
    <w:rsid w:val="00266095"/>
    <w:rsid w:val="00266478"/>
    <w:rsid w:val="00266515"/>
    <w:rsid w:val="002712C7"/>
    <w:rsid w:val="00271505"/>
    <w:rsid w:val="00271FBE"/>
    <w:rsid w:val="00277126"/>
    <w:rsid w:val="00281EE6"/>
    <w:rsid w:val="00286104"/>
    <w:rsid w:val="00287328"/>
    <w:rsid w:val="00292CA8"/>
    <w:rsid w:val="00292F23"/>
    <w:rsid w:val="00293B0D"/>
    <w:rsid w:val="00294BE7"/>
    <w:rsid w:val="002969F5"/>
    <w:rsid w:val="002A17E4"/>
    <w:rsid w:val="002A2D69"/>
    <w:rsid w:val="002A5E5F"/>
    <w:rsid w:val="002A6E19"/>
    <w:rsid w:val="002B17D4"/>
    <w:rsid w:val="002B22C7"/>
    <w:rsid w:val="002B4929"/>
    <w:rsid w:val="002C02E4"/>
    <w:rsid w:val="002C0956"/>
    <w:rsid w:val="002C12E5"/>
    <w:rsid w:val="002C1F28"/>
    <w:rsid w:val="002C4232"/>
    <w:rsid w:val="002C4CFA"/>
    <w:rsid w:val="002C6489"/>
    <w:rsid w:val="002C6BCA"/>
    <w:rsid w:val="002C6C09"/>
    <w:rsid w:val="002C6F76"/>
    <w:rsid w:val="002C7656"/>
    <w:rsid w:val="002D033B"/>
    <w:rsid w:val="002D055D"/>
    <w:rsid w:val="002D15C8"/>
    <w:rsid w:val="002D4548"/>
    <w:rsid w:val="002E41DF"/>
    <w:rsid w:val="002E50C8"/>
    <w:rsid w:val="002E7321"/>
    <w:rsid w:val="002E7B23"/>
    <w:rsid w:val="002F2E40"/>
    <w:rsid w:val="002F3A1E"/>
    <w:rsid w:val="002F3DB0"/>
    <w:rsid w:val="002F49DA"/>
    <w:rsid w:val="002F64E9"/>
    <w:rsid w:val="00301058"/>
    <w:rsid w:val="003013D6"/>
    <w:rsid w:val="003074FC"/>
    <w:rsid w:val="00311E43"/>
    <w:rsid w:val="00317DD1"/>
    <w:rsid w:val="0032169E"/>
    <w:rsid w:val="00322E4B"/>
    <w:rsid w:val="00326A54"/>
    <w:rsid w:val="00326CDF"/>
    <w:rsid w:val="00330089"/>
    <w:rsid w:val="00330175"/>
    <w:rsid w:val="00330226"/>
    <w:rsid w:val="003308B6"/>
    <w:rsid w:val="003319B0"/>
    <w:rsid w:val="00335183"/>
    <w:rsid w:val="00336CB9"/>
    <w:rsid w:val="00336CF1"/>
    <w:rsid w:val="00342A00"/>
    <w:rsid w:val="003431FB"/>
    <w:rsid w:val="0034370C"/>
    <w:rsid w:val="00346F74"/>
    <w:rsid w:val="003472D5"/>
    <w:rsid w:val="00360779"/>
    <w:rsid w:val="00364641"/>
    <w:rsid w:val="003721FC"/>
    <w:rsid w:val="0037308A"/>
    <w:rsid w:val="003733E9"/>
    <w:rsid w:val="00382007"/>
    <w:rsid w:val="003830CD"/>
    <w:rsid w:val="00383648"/>
    <w:rsid w:val="00384ACB"/>
    <w:rsid w:val="00387DEA"/>
    <w:rsid w:val="00390EB2"/>
    <w:rsid w:val="00391562"/>
    <w:rsid w:val="003916CB"/>
    <w:rsid w:val="003921CD"/>
    <w:rsid w:val="003937FD"/>
    <w:rsid w:val="003A384A"/>
    <w:rsid w:val="003A5EC8"/>
    <w:rsid w:val="003B28E7"/>
    <w:rsid w:val="003B3318"/>
    <w:rsid w:val="003B65AA"/>
    <w:rsid w:val="003B6FFF"/>
    <w:rsid w:val="003C24F1"/>
    <w:rsid w:val="003C2C6D"/>
    <w:rsid w:val="003C441C"/>
    <w:rsid w:val="003C4A54"/>
    <w:rsid w:val="003C6F67"/>
    <w:rsid w:val="003D03E7"/>
    <w:rsid w:val="003D2CB8"/>
    <w:rsid w:val="003D2FBF"/>
    <w:rsid w:val="003E0026"/>
    <w:rsid w:val="003E49E7"/>
    <w:rsid w:val="003E6816"/>
    <w:rsid w:val="003F014C"/>
    <w:rsid w:val="003F236B"/>
    <w:rsid w:val="003F6A30"/>
    <w:rsid w:val="003F6F24"/>
    <w:rsid w:val="00400631"/>
    <w:rsid w:val="004051B8"/>
    <w:rsid w:val="00407D18"/>
    <w:rsid w:val="0041008B"/>
    <w:rsid w:val="00410109"/>
    <w:rsid w:val="0041082A"/>
    <w:rsid w:val="00411B5E"/>
    <w:rsid w:val="00415029"/>
    <w:rsid w:val="00417FBB"/>
    <w:rsid w:val="004224FC"/>
    <w:rsid w:val="00423562"/>
    <w:rsid w:val="00424315"/>
    <w:rsid w:val="00427403"/>
    <w:rsid w:val="00431F4A"/>
    <w:rsid w:val="00433209"/>
    <w:rsid w:val="00433358"/>
    <w:rsid w:val="004367EA"/>
    <w:rsid w:val="004408E5"/>
    <w:rsid w:val="00445B3A"/>
    <w:rsid w:val="00446C65"/>
    <w:rsid w:val="004472DE"/>
    <w:rsid w:val="0044777C"/>
    <w:rsid w:val="00447EF0"/>
    <w:rsid w:val="004516E8"/>
    <w:rsid w:val="00452107"/>
    <w:rsid w:val="0045556D"/>
    <w:rsid w:val="004579D4"/>
    <w:rsid w:val="00465A93"/>
    <w:rsid w:val="0046607D"/>
    <w:rsid w:val="00472337"/>
    <w:rsid w:val="00472690"/>
    <w:rsid w:val="00472695"/>
    <w:rsid w:val="00472CEB"/>
    <w:rsid w:val="00473F25"/>
    <w:rsid w:val="00475B50"/>
    <w:rsid w:val="00480BB6"/>
    <w:rsid w:val="00485F2A"/>
    <w:rsid w:val="00490C78"/>
    <w:rsid w:val="00493BF9"/>
    <w:rsid w:val="00495A9A"/>
    <w:rsid w:val="004A07C6"/>
    <w:rsid w:val="004A0DB5"/>
    <w:rsid w:val="004A207D"/>
    <w:rsid w:val="004A37A0"/>
    <w:rsid w:val="004A3D88"/>
    <w:rsid w:val="004B3D3D"/>
    <w:rsid w:val="004B4599"/>
    <w:rsid w:val="004C37B9"/>
    <w:rsid w:val="004C424B"/>
    <w:rsid w:val="004C7777"/>
    <w:rsid w:val="004D0F00"/>
    <w:rsid w:val="004D1686"/>
    <w:rsid w:val="004D3E4B"/>
    <w:rsid w:val="004D4BC0"/>
    <w:rsid w:val="004E23C0"/>
    <w:rsid w:val="004E50E4"/>
    <w:rsid w:val="004F0218"/>
    <w:rsid w:val="004F5B4F"/>
    <w:rsid w:val="00501506"/>
    <w:rsid w:val="0050391D"/>
    <w:rsid w:val="0050428F"/>
    <w:rsid w:val="00504C24"/>
    <w:rsid w:val="00506DBF"/>
    <w:rsid w:val="00506E40"/>
    <w:rsid w:val="0052736F"/>
    <w:rsid w:val="0052738C"/>
    <w:rsid w:val="005278B6"/>
    <w:rsid w:val="00532966"/>
    <w:rsid w:val="00535BE9"/>
    <w:rsid w:val="00540851"/>
    <w:rsid w:val="00542B5E"/>
    <w:rsid w:val="00542FB4"/>
    <w:rsid w:val="00543807"/>
    <w:rsid w:val="00544261"/>
    <w:rsid w:val="005507E3"/>
    <w:rsid w:val="00552CC6"/>
    <w:rsid w:val="00554611"/>
    <w:rsid w:val="005615C8"/>
    <w:rsid w:val="00561F8C"/>
    <w:rsid w:val="00562972"/>
    <w:rsid w:val="0056402C"/>
    <w:rsid w:val="00565EA9"/>
    <w:rsid w:val="00572AA4"/>
    <w:rsid w:val="00572B95"/>
    <w:rsid w:val="00574E39"/>
    <w:rsid w:val="005754F7"/>
    <w:rsid w:val="00576CBA"/>
    <w:rsid w:val="0058139D"/>
    <w:rsid w:val="00582393"/>
    <w:rsid w:val="005843E0"/>
    <w:rsid w:val="00587833"/>
    <w:rsid w:val="00590022"/>
    <w:rsid w:val="005920ED"/>
    <w:rsid w:val="00594836"/>
    <w:rsid w:val="00594CE7"/>
    <w:rsid w:val="0059600F"/>
    <w:rsid w:val="005A16CC"/>
    <w:rsid w:val="005A3D04"/>
    <w:rsid w:val="005A40F2"/>
    <w:rsid w:val="005A4835"/>
    <w:rsid w:val="005B041F"/>
    <w:rsid w:val="005B32E8"/>
    <w:rsid w:val="005B4348"/>
    <w:rsid w:val="005B6964"/>
    <w:rsid w:val="005C3CE2"/>
    <w:rsid w:val="005D01B8"/>
    <w:rsid w:val="005D1409"/>
    <w:rsid w:val="005D283D"/>
    <w:rsid w:val="005D4FDB"/>
    <w:rsid w:val="005E42BF"/>
    <w:rsid w:val="005E4748"/>
    <w:rsid w:val="005E70B5"/>
    <w:rsid w:val="005E7B1A"/>
    <w:rsid w:val="005F032D"/>
    <w:rsid w:val="005F2999"/>
    <w:rsid w:val="005F2F39"/>
    <w:rsid w:val="00601FF9"/>
    <w:rsid w:val="006043EE"/>
    <w:rsid w:val="00604B62"/>
    <w:rsid w:val="00605CF5"/>
    <w:rsid w:val="0061086B"/>
    <w:rsid w:val="00610BBB"/>
    <w:rsid w:val="006140F2"/>
    <w:rsid w:val="00615A28"/>
    <w:rsid w:val="00616236"/>
    <w:rsid w:val="006200CB"/>
    <w:rsid w:val="00626AE9"/>
    <w:rsid w:val="0063005B"/>
    <w:rsid w:val="00630F3E"/>
    <w:rsid w:val="00631853"/>
    <w:rsid w:val="00631C9F"/>
    <w:rsid w:val="00631E50"/>
    <w:rsid w:val="0063269E"/>
    <w:rsid w:val="00632C14"/>
    <w:rsid w:val="00634A81"/>
    <w:rsid w:val="00635769"/>
    <w:rsid w:val="006417DA"/>
    <w:rsid w:val="00644312"/>
    <w:rsid w:val="00650320"/>
    <w:rsid w:val="00651297"/>
    <w:rsid w:val="006518FF"/>
    <w:rsid w:val="00651BD7"/>
    <w:rsid w:val="00651E6C"/>
    <w:rsid w:val="006520F2"/>
    <w:rsid w:val="00654751"/>
    <w:rsid w:val="00655196"/>
    <w:rsid w:val="006551C3"/>
    <w:rsid w:val="00655365"/>
    <w:rsid w:val="00662137"/>
    <w:rsid w:val="006626DF"/>
    <w:rsid w:val="006644BA"/>
    <w:rsid w:val="0066461D"/>
    <w:rsid w:val="00666AED"/>
    <w:rsid w:val="00666CB5"/>
    <w:rsid w:val="00670037"/>
    <w:rsid w:val="00670AC7"/>
    <w:rsid w:val="00673C59"/>
    <w:rsid w:val="0067412D"/>
    <w:rsid w:val="00675668"/>
    <w:rsid w:val="0068576B"/>
    <w:rsid w:val="00686773"/>
    <w:rsid w:val="00687F14"/>
    <w:rsid w:val="006A091A"/>
    <w:rsid w:val="006A10D0"/>
    <w:rsid w:val="006A175D"/>
    <w:rsid w:val="006A1ED0"/>
    <w:rsid w:val="006A5DDD"/>
    <w:rsid w:val="006C337A"/>
    <w:rsid w:val="006C4CD4"/>
    <w:rsid w:val="006C5AB1"/>
    <w:rsid w:val="006C70F3"/>
    <w:rsid w:val="006D1344"/>
    <w:rsid w:val="006D3D7A"/>
    <w:rsid w:val="006D46CE"/>
    <w:rsid w:val="006D4DBC"/>
    <w:rsid w:val="006D68AF"/>
    <w:rsid w:val="006E04BE"/>
    <w:rsid w:val="006F3004"/>
    <w:rsid w:val="006F3A02"/>
    <w:rsid w:val="006F63C4"/>
    <w:rsid w:val="006F717F"/>
    <w:rsid w:val="006F7381"/>
    <w:rsid w:val="006F7BAF"/>
    <w:rsid w:val="007026AA"/>
    <w:rsid w:val="0070587A"/>
    <w:rsid w:val="00711EC4"/>
    <w:rsid w:val="007120F7"/>
    <w:rsid w:val="007122D8"/>
    <w:rsid w:val="00712DCA"/>
    <w:rsid w:val="00713CFF"/>
    <w:rsid w:val="00715DEA"/>
    <w:rsid w:val="00721E9D"/>
    <w:rsid w:val="00724FE0"/>
    <w:rsid w:val="007310EE"/>
    <w:rsid w:val="00735B24"/>
    <w:rsid w:val="00735C46"/>
    <w:rsid w:val="007376F0"/>
    <w:rsid w:val="00740C95"/>
    <w:rsid w:val="00742D11"/>
    <w:rsid w:val="00743342"/>
    <w:rsid w:val="007458A1"/>
    <w:rsid w:val="0074748E"/>
    <w:rsid w:val="00752FA9"/>
    <w:rsid w:val="00754B4C"/>
    <w:rsid w:val="00754BF2"/>
    <w:rsid w:val="00754EB9"/>
    <w:rsid w:val="007718B5"/>
    <w:rsid w:val="00775B31"/>
    <w:rsid w:val="00776770"/>
    <w:rsid w:val="00777052"/>
    <w:rsid w:val="0078028D"/>
    <w:rsid w:val="0078481B"/>
    <w:rsid w:val="0078601F"/>
    <w:rsid w:val="0079382F"/>
    <w:rsid w:val="007A4A76"/>
    <w:rsid w:val="007A59AA"/>
    <w:rsid w:val="007A65BC"/>
    <w:rsid w:val="007A7CFA"/>
    <w:rsid w:val="007B0790"/>
    <w:rsid w:val="007C3F4B"/>
    <w:rsid w:val="007C6B8F"/>
    <w:rsid w:val="007D35A8"/>
    <w:rsid w:val="007D709C"/>
    <w:rsid w:val="007E1E7A"/>
    <w:rsid w:val="007E689F"/>
    <w:rsid w:val="007F380D"/>
    <w:rsid w:val="007F67A7"/>
    <w:rsid w:val="0080054B"/>
    <w:rsid w:val="00811883"/>
    <w:rsid w:val="00811E98"/>
    <w:rsid w:val="00815EA6"/>
    <w:rsid w:val="00817CCF"/>
    <w:rsid w:val="00820F0E"/>
    <w:rsid w:val="0083074A"/>
    <w:rsid w:val="008314E5"/>
    <w:rsid w:val="00831F23"/>
    <w:rsid w:val="00832BA8"/>
    <w:rsid w:val="008358CB"/>
    <w:rsid w:val="0083783E"/>
    <w:rsid w:val="00842784"/>
    <w:rsid w:val="00842910"/>
    <w:rsid w:val="00843DFD"/>
    <w:rsid w:val="008450D1"/>
    <w:rsid w:val="00845A39"/>
    <w:rsid w:val="00846164"/>
    <w:rsid w:val="008475E1"/>
    <w:rsid w:val="0085019D"/>
    <w:rsid w:val="00853740"/>
    <w:rsid w:val="00854AE0"/>
    <w:rsid w:val="008611EB"/>
    <w:rsid w:val="00862039"/>
    <w:rsid w:val="00863A94"/>
    <w:rsid w:val="00864D1A"/>
    <w:rsid w:val="008661C2"/>
    <w:rsid w:val="00867B66"/>
    <w:rsid w:val="008717A5"/>
    <w:rsid w:val="00871B7F"/>
    <w:rsid w:val="0087595F"/>
    <w:rsid w:val="00875BA3"/>
    <w:rsid w:val="008770EB"/>
    <w:rsid w:val="0087787C"/>
    <w:rsid w:val="00887084"/>
    <w:rsid w:val="00890260"/>
    <w:rsid w:val="00890EC9"/>
    <w:rsid w:val="00891064"/>
    <w:rsid w:val="0089268D"/>
    <w:rsid w:val="0089440E"/>
    <w:rsid w:val="00895589"/>
    <w:rsid w:val="008959D1"/>
    <w:rsid w:val="00896471"/>
    <w:rsid w:val="008972AC"/>
    <w:rsid w:val="008A070E"/>
    <w:rsid w:val="008A0821"/>
    <w:rsid w:val="008A6B61"/>
    <w:rsid w:val="008B1C7D"/>
    <w:rsid w:val="008B2892"/>
    <w:rsid w:val="008B51B5"/>
    <w:rsid w:val="008C1370"/>
    <w:rsid w:val="008C1720"/>
    <w:rsid w:val="008C211C"/>
    <w:rsid w:val="008C2917"/>
    <w:rsid w:val="008C37F9"/>
    <w:rsid w:val="008C3B40"/>
    <w:rsid w:val="008C4493"/>
    <w:rsid w:val="008D1733"/>
    <w:rsid w:val="008D439F"/>
    <w:rsid w:val="008D5F1C"/>
    <w:rsid w:val="008D7D05"/>
    <w:rsid w:val="008E0286"/>
    <w:rsid w:val="008E5CBF"/>
    <w:rsid w:val="008E6B9B"/>
    <w:rsid w:val="008E6DCB"/>
    <w:rsid w:val="008E798C"/>
    <w:rsid w:val="008F29A1"/>
    <w:rsid w:val="008F3BDD"/>
    <w:rsid w:val="008F407C"/>
    <w:rsid w:val="008F717E"/>
    <w:rsid w:val="008F755C"/>
    <w:rsid w:val="00904F69"/>
    <w:rsid w:val="00906985"/>
    <w:rsid w:val="00907EF9"/>
    <w:rsid w:val="00910585"/>
    <w:rsid w:val="0091218B"/>
    <w:rsid w:val="0091220B"/>
    <w:rsid w:val="009141EB"/>
    <w:rsid w:val="00916A85"/>
    <w:rsid w:val="00916B77"/>
    <w:rsid w:val="00917797"/>
    <w:rsid w:val="00922403"/>
    <w:rsid w:val="00922EAE"/>
    <w:rsid w:val="00923C71"/>
    <w:rsid w:val="00925784"/>
    <w:rsid w:val="00926617"/>
    <w:rsid w:val="00932424"/>
    <w:rsid w:val="00932B65"/>
    <w:rsid w:val="00935846"/>
    <w:rsid w:val="00937196"/>
    <w:rsid w:val="00940AE9"/>
    <w:rsid w:val="00941EEA"/>
    <w:rsid w:val="00942092"/>
    <w:rsid w:val="009427B7"/>
    <w:rsid w:val="009453D4"/>
    <w:rsid w:val="009456A8"/>
    <w:rsid w:val="00946ABC"/>
    <w:rsid w:val="009529E4"/>
    <w:rsid w:val="00957B85"/>
    <w:rsid w:val="00960F89"/>
    <w:rsid w:val="009627F0"/>
    <w:rsid w:val="00965E36"/>
    <w:rsid w:val="00966944"/>
    <w:rsid w:val="00967A8D"/>
    <w:rsid w:val="009702B5"/>
    <w:rsid w:val="00971214"/>
    <w:rsid w:val="00976573"/>
    <w:rsid w:val="0098134E"/>
    <w:rsid w:val="00981E47"/>
    <w:rsid w:val="00984E2F"/>
    <w:rsid w:val="009857F2"/>
    <w:rsid w:val="0098714E"/>
    <w:rsid w:val="00987400"/>
    <w:rsid w:val="00987D93"/>
    <w:rsid w:val="00991CD0"/>
    <w:rsid w:val="00995CC8"/>
    <w:rsid w:val="009A6E02"/>
    <w:rsid w:val="009B661F"/>
    <w:rsid w:val="009C230F"/>
    <w:rsid w:val="009C307B"/>
    <w:rsid w:val="009C4D53"/>
    <w:rsid w:val="009C55D6"/>
    <w:rsid w:val="009C5E59"/>
    <w:rsid w:val="009C60AF"/>
    <w:rsid w:val="009C6994"/>
    <w:rsid w:val="009C7490"/>
    <w:rsid w:val="009D0420"/>
    <w:rsid w:val="009D26D4"/>
    <w:rsid w:val="009D297C"/>
    <w:rsid w:val="009E0802"/>
    <w:rsid w:val="009E1BE9"/>
    <w:rsid w:val="009E3DCC"/>
    <w:rsid w:val="009E54E6"/>
    <w:rsid w:val="009E67A2"/>
    <w:rsid w:val="009E6F1C"/>
    <w:rsid w:val="009F0540"/>
    <w:rsid w:val="009F150E"/>
    <w:rsid w:val="009F4F15"/>
    <w:rsid w:val="009F6E46"/>
    <w:rsid w:val="00A02733"/>
    <w:rsid w:val="00A06CEC"/>
    <w:rsid w:val="00A13330"/>
    <w:rsid w:val="00A16412"/>
    <w:rsid w:val="00A16838"/>
    <w:rsid w:val="00A179C5"/>
    <w:rsid w:val="00A271E8"/>
    <w:rsid w:val="00A313DE"/>
    <w:rsid w:val="00A31413"/>
    <w:rsid w:val="00A31A83"/>
    <w:rsid w:val="00A322B3"/>
    <w:rsid w:val="00A35338"/>
    <w:rsid w:val="00A37A18"/>
    <w:rsid w:val="00A42786"/>
    <w:rsid w:val="00A46B94"/>
    <w:rsid w:val="00A542BC"/>
    <w:rsid w:val="00A66906"/>
    <w:rsid w:val="00A672A6"/>
    <w:rsid w:val="00A6735B"/>
    <w:rsid w:val="00A67BD4"/>
    <w:rsid w:val="00A7551E"/>
    <w:rsid w:val="00A76282"/>
    <w:rsid w:val="00A77EDC"/>
    <w:rsid w:val="00A80814"/>
    <w:rsid w:val="00A8096B"/>
    <w:rsid w:val="00A85579"/>
    <w:rsid w:val="00A8645C"/>
    <w:rsid w:val="00A8734E"/>
    <w:rsid w:val="00A8782F"/>
    <w:rsid w:val="00A87B54"/>
    <w:rsid w:val="00A91104"/>
    <w:rsid w:val="00A92F34"/>
    <w:rsid w:val="00A94D1C"/>
    <w:rsid w:val="00A97C5E"/>
    <w:rsid w:val="00AA0E3A"/>
    <w:rsid w:val="00AA2969"/>
    <w:rsid w:val="00AA4AD4"/>
    <w:rsid w:val="00AA60CC"/>
    <w:rsid w:val="00AB029C"/>
    <w:rsid w:val="00AB2CF0"/>
    <w:rsid w:val="00AB5505"/>
    <w:rsid w:val="00AC01C6"/>
    <w:rsid w:val="00AC2EC2"/>
    <w:rsid w:val="00AC2F2D"/>
    <w:rsid w:val="00AC53D8"/>
    <w:rsid w:val="00AC54C2"/>
    <w:rsid w:val="00AC6759"/>
    <w:rsid w:val="00AC7FD6"/>
    <w:rsid w:val="00AD5C39"/>
    <w:rsid w:val="00AD5C48"/>
    <w:rsid w:val="00AD7BE3"/>
    <w:rsid w:val="00AE0D4A"/>
    <w:rsid w:val="00AE363A"/>
    <w:rsid w:val="00AF0F52"/>
    <w:rsid w:val="00AF1143"/>
    <w:rsid w:val="00AF1375"/>
    <w:rsid w:val="00AF24A3"/>
    <w:rsid w:val="00AF383A"/>
    <w:rsid w:val="00AF6AE1"/>
    <w:rsid w:val="00B0199B"/>
    <w:rsid w:val="00B035A0"/>
    <w:rsid w:val="00B0655C"/>
    <w:rsid w:val="00B07DEC"/>
    <w:rsid w:val="00B07FDF"/>
    <w:rsid w:val="00B10324"/>
    <w:rsid w:val="00B11EA2"/>
    <w:rsid w:val="00B138B9"/>
    <w:rsid w:val="00B1482A"/>
    <w:rsid w:val="00B20594"/>
    <w:rsid w:val="00B21149"/>
    <w:rsid w:val="00B21CE9"/>
    <w:rsid w:val="00B22F38"/>
    <w:rsid w:val="00B25503"/>
    <w:rsid w:val="00B30E19"/>
    <w:rsid w:val="00B3384E"/>
    <w:rsid w:val="00B35EB0"/>
    <w:rsid w:val="00B40A72"/>
    <w:rsid w:val="00B4186A"/>
    <w:rsid w:val="00B43027"/>
    <w:rsid w:val="00B43B49"/>
    <w:rsid w:val="00B44765"/>
    <w:rsid w:val="00B46916"/>
    <w:rsid w:val="00B563B2"/>
    <w:rsid w:val="00B60A31"/>
    <w:rsid w:val="00B62B39"/>
    <w:rsid w:val="00B664CD"/>
    <w:rsid w:val="00B6688A"/>
    <w:rsid w:val="00B70E1C"/>
    <w:rsid w:val="00B739CD"/>
    <w:rsid w:val="00B74AE4"/>
    <w:rsid w:val="00B80FAA"/>
    <w:rsid w:val="00B864DE"/>
    <w:rsid w:val="00BA3AEE"/>
    <w:rsid w:val="00BA5932"/>
    <w:rsid w:val="00BB28AA"/>
    <w:rsid w:val="00BB54F5"/>
    <w:rsid w:val="00BB7F75"/>
    <w:rsid w:val="00BC1307"/>
    <w:rsid w:val="00BC2671"/>
    <w:rsid w:val="00BC4118"/>
    <w:rsid w:val="00BC43E1"/>
    <w:rsid w:val="00BD0AA8"/>
    <w:rsid w:val="00BD0BE9"/>
    <w:rsid w:val="00BD2EAD"/>
    <w:rsid w:val="00BD430B"/>
    <w:rsid w:val="00BE1E5C"/>
    <w:rsid w:val="00BE389A"/>
    <w:rsid w:val="00BE3B6F"/>
    <w:rsid w:val="00BE3D7B"/>
    <w:rsid w:val="00BF4808"/>
    <w:rsid w:val="00BF5269"/>
    <w:rsid w:val="00BF6825"/>
    <w:rsid w:val="00C0524F"/>
    <w:rsid w:val="00C05629"/>
    <w:rsid w:val="00C14B05"/>
    <w:rsid w:val="00C16391"/>
    <w:rsid w:val="00C172FB"/>
    <w:rsid w:val="00C17489"/>
    <w:rsid w:val="00C17997"/>
    <w:rsid w:val="00C17E97"/>
    <w:rsid w:val="00C205B5"/>
    <w:rsid w:val="00C2168B"/>
    <w:rsid w:val="00C21BD5"/>
    <w:rsid w:val="00C22BD2"/>
    <w:rsid w:val="00C2385C"/>
    <w:rsid w:val="00C27E66"/>
    <w:rsid w:val="00C30F47"/>
    <w:rsid w:val="00C33214"/>
    <w:rsid w:val="00C3444E"/>
    <w:rsid w:val="00C40C9C"/>
    <w:rsid w:val="00C43506"/>
    <w:rsid w:val="00C53423"/>
    <w:rsid w:val="00C56AF5"/>
    <w:rsid w:val="00C60D26"/>
    <w:rsid w:val="00C62DC9"/>
    <w:rsid w:val="00C63ED2"/>
    <w:rsid w:val="00C64C48"/>
    <w:rsid w:val="00C66B5C"/>
    <w:rsid w:val="00C6704F"/>
    <w:rsid w:val="00C708B9"/>
    <w:rsid w:val="00C70DC8"/>
    <w:rsid w:val="00C73BDB"/>
    <w:rsid w:val="00C765B7"/>
    <w:rsid w:val="00C809BF"/>
    <w:rsid w:val="00C871D1"/>
    <w:rsid w:val="00C875A2"/>
    <w:rsid w:val="00C909F8"/>
    <w:rsid w:val="00C93BC3"/>
    <w:rsid w:val="00C93BCE"/>
    <w:rsid w:val="00CA0459"/>
    <w:rsid w:val="00CA39B9"/>
    <w:rsid w:val="00CA41C8"/>
    <w:rsid w:val="00CA4E51"/>
    <w:rsid w:val="00CA7134"/>
    <w:rsid w:val="00CA72BE"/>
    <w:rsid w:val="00CB20B5"/>
    <w:rsid w:val="00CC016C"/>
    <w:rsid w:val="00CC1F9F"/>
    <w:rsid w:val="00CC3715"/>
    <w:rsid w:val="00CC37DD"/>
    <w:rsid w:val="00CC4743"/>
    <w:rsid w:val="00CC5B3C"/>
    <w:rsid w:val="00CC627A"/>
    <w:rsid w:val="00CC6901"/>
    <w:rsid w:val="00CD2CED"/>
    <w:rsid w:val="00CD56FA"/>
    <w:rsid w:val="00CD66BB"/>
    <w:rsid w:val="00CD78C9"/>
    <w:rsid w:val="00CE0CF4"/>
    <w:rsid w:val="00CE4EF0"/>
    <w:rsid w:val="00CE6CFC"/>
    <w:rsid w:val="00CE74BF"/>
    <w:rsid w:val="00CF1524"/>
    <w:rsid w:val="00CF5009"/>
    <w:rsid w:val="00CF58EF"/>
    <w:rsid w:val="00CF781D"/>
    <w:rsid w:val="00D024E3"/>
    <w:rsid w:val="00D0582D"/>
    <w:rsid w:val="00D05CC2"/>
    <w:rsid w:val="00D07B30"/>
    <w:rsid w:val="00D133A6"/>
    <w:rsid w:val="00D15101"/>
    <w:rsid w:val="00D2087C"/>
    <w:rsid w:val="00D22ECD"/>
    <w:rsid w:val="00D3041F"/>
    <w:rsid w:val="00D30A87"/>
    <w:rsid w:val="00D32DCA"/>
    <w:rsid w:val="00D375EA"/>
    <w:rsid w:val="00D407E9"/>
    <w:rsid w:val="00D409C0"/>
    <w:rsid w:val="00D411C9"/>
    <w:rsid w:val="00D46637"/>
    <w:rsid w:val="00D57767"/>
    <w:rsid w:val="00D60E90"/>
    <w:rsid w:val="00D633F6"/>
    <w:rsid w:val="00D658E9"/>
    <w:rsid w:val="00D730B4"/>
    <w:rsid w:val="00D7688E"/>
    <w:rsid w:val="00D76B49"/>
    <w:rsid w:val="00D801B3"/>
    <w:rsid w:val="00D83F61"/>
    <w:rsid w:val="00D83FF3"/>
    <w:rsid w:val="00D85C3F"/>
    <w:rsid w:val="00D9045B"/>
    <w:rsid w:val="00D91BF1"/>
    <w:rsid w:val="00D94184"/>
    <w:rsid w:val="00D94AAB"/>
    <w:rsid w:val="00D94C7E"/>
    <w:rsid w:val="00D95CBE"/>
    <w:rsid w:val="00D96CE3"/>
    <w:rsid w:val="00D97D51"/>
    <w:rsid w:val="00DA007E"/>
    <w:rsid w:val="00DA0F9F"/>
    <w:rsid w:val="00DA5A63"/>
    <w:rsid w:val="00DA71B6"/>
    <w:rsid w:val="00DA7B0B"/>
    <w:rsid w:val="00DB369E"/>
    <w:rsid w:val="00DB3E79"/>
    <w:rsid w:val="00DB4930"/>
    <w:rsid w:val="00DB56A7"/>
    <w:rsid w:val="00DB7C75"/>
    <w:rsid w:val="00DB7F8E"/>
    <w:rsid w:val="00DC33A7"/>
    <w:rsid w:val="00DC5376"/>
    <w:rsid w:val="00DC5727"/>
    <w:rsid w:val="00DC5747"/>
    <w:rsid w:val="00DD2A60"/>
    <w:rsid w:val="00DD2FCF"/>
    <w:rsid w:val="00DD3944"/>
    <w:rsid w:val="00DD69C1"/>
    <w:rsid w:val="00DD6B32"/>
    <w:rsid w:val="00DE0357"/>
    <w:rsid w:val="00DE2A0F"/>
    <w:rsid w:val="00DE2A5A"/>
    <w:rsid w:val="00DE334D"/>
    <w:rsid w:val="00DE35FB"/>
    <w:rsid w:val="00DE4234"/>
    <w:rsid w:val="00DE6932"/>
    <w:rsid w:val="00DE765B"/>
    <w:rsid w:val="00DE7B92"/>
    <w:rsid w:val="00DF21F8"/>
    <w:rsid w:val="00DF47AB"/>
    <w:rsid w:val="00E02BA0"/>
    <w:rsid w:val="00E05469"/>
    <w:rsid w:val="00E0636E"/>
    <w:rsid w:val="00E119A8"/>
    <w:rsid w:val="00E11DD7"/>
    <w:rsid w:val="00E15CCA"/>
    <w:rsid w:val="00E162FF"/>
    <w:rsid w:val="00E179EA"/>
    <w:rsid w:val="00E17D42"/>
    <w:rsid w:val="00E20280"/>
    <w:rsid w:val="00E21B15"/>
    <w:rsid w:val="00E22F20"/>
    <w:rsid w:val="00E24614"/>
    <w:rsid w:val="00E26289"/>
    <w:rsid w:val="00E2674A"/>
    <w:rsid w:val="00E27F2B"/>
    <w:rsid w:val="00E33338"/>
    <w:rsid w:val="00E353D8"/>
    <w:rsid w:val="00E374A5"/>
    <w:rsid w:val="00E37F10"/>
    <w:rsid w:val="00E40166"/>
    <w:rsid w:val="00E42D5A"/>
    <w:rsid w:val="00E43637"/>
    <w:rsid w:val="00E505D5"/>
    <w:rsid w:val="00E50645"/>
    <w:rsid w:val="00E53D4A"/>
    <w:rsid w:val="00E53FFD"/>
    <w:rsid w:val="00E54C44"/>
    <w:rsid w:val="00E569D5"/>
    <w:rsid w:val="00E634F6"/>
    <w:rsid w:val="00E638FE"/>
    <w:rsid w:val="00E64FCD"/>
    <w:rsid w:val="00E6642D"/>
    <w:rsid w:val="00E66F38"/>
    <w:rsid w:val="00E70D0D"/>
    <w:rsid w:val="00E726B2"/>
    <w:rsid w:val="00E74482"/>
    <w:rsid w:val="00E75D9E"/>
    <w:rsid w:val="00E762C7"/>
    <w:rsid w:val="00EA34B3"/>
    <w:rsid w:val="00EA52A4"/>
    <w:rsid w:val="00EA7CA4"/>
    <w:rsid w:val="00EB1524"/>
    <w:rsid w:val="00EB2883"/>
    <w:rsid w:val="00EB69CA"/>
    <w:rsid w:val="00EB6ECD"/>
    <w:rsid w:val="00EC095B"/>
    <w:rsid w:val="00EC0F93"/>
    <w:rsid w:val="00EC1237"/>
    <w:rsid w:val="00EC192D"/>
    <w:rsid w:val="00EC3D3A"/>
    <w:rsid w:val="00EC675C"/>
    <w:rsid w:val="00ED0844"/>
    <w:rsid w:val="00ED4A6E"/>
    <w:rsid w:val="00EE0097"/>
    <w:rsid w:val="00EE102A"/>
    <w:rsid w:val="00EE69B4"/>
    <w:rsid w:val="00F106AB"/>
    <w:rsid w:val="00F127EE"/>
    <w:rsid w:val="00F157E0"/>
    <w:rsid w:val="00F16FB6"/>
    <w:rsid w:val="00F20EBB"/>
    <w:rsid w:val="00F2754D"/>
    <w:rsid w:val="00F32C6C"/>
    <w:rsid w:val="00F40C49"/>
    <w:rsid w:val="00F43209"/>
    <w:rsid w:val="00F43616"/>
    <w:rsid w:val="00F439DB"/>
    <w:rsid w:val="00F47DC3"/>
    <w:rsid w:val="00F50212"/>
    <w:rsid w:val="00F54932"/>
    <w:rsid w:val="00F56034"/>
    <w:rsid w:val="00F5627B"/>
    <w:rsid w:val="00F5738E"/>
    <w:rsid w:val="00F57E44"/>
    <w:rsid w:val="00F60A34"/>
    <w:rsid w:val="00F60B70"/>
    <w:rsid w:val="00F60CFC"/>
    <w:rsid w:val="00F61B0F"/>
    <w:rsid w:val="00F61E09"/>
    <w:rsid w:val="00F6282D"/>
    <w:rsid w:val="00F658FE"/>
    <w:rsid w:val="00F7555E"/>
    <w:rsid w:val="00F76E4F"/>
    <w:rsid w:val="00F81D94"/>
    <w:rsid w:val="00F82064"/>
    <w:rsid w:val="00F9284A"/>
    <w:rsid w:val="00F9398B"/>
    <w:rsid w:val="00F96306"/>
    <w:rsid w:val="00F96BCC"/>
    <w:rsid w:val="00FA4A10"/>
    <w:rsid w:val="00FB1087"/>
    <w:rsid w:val="00FB3836"/>
    <w:rsid w:val="00FB39BC"/>
    <w:rsid w:val="00FB3C89"/>
    <w:rsid w:val="00FC09FB"/>
    <w:rsid w:val="00FC3C0C"/>
    <w:rsid w:val="00FC4B90"/>
    <w:rsid w:val="00FC4EE1"/>
    <w:rsid w:val="00FC73FF"/>
    <w:rsid w:val="00FD1E92"/>
    <w:rsid w:val="00FD3CFE"/>
    <w:rsid w:val="00FD3E63"/>
    <w:rsid w:val="00FD53FF"/>
    <w:rsid w:val="00FE2A2B"/>
    <w:rsid w:val="00FE5868"/>
    <w:rsid w:val="00FE74F5"/>
    <w:rsid w:val="00FF4833"/>
    <w:rsid w:val="00FF4AE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6FFA"/>
  <w15:chartTrackingRefBased/>
  <w15:docId w15:val="{F5FB3B33-BEEA-4C06-BEAD-94FC693B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271FBE"/>
    <w:pPr>
      <w:spacing w:after="0" w:line="240" w:lineRule="auto"/>
      <w:ind w:firstLine="284"/>
      <w:jc w:val="both"/>
    </w:pPr>
    <w:rPr>
      <w:rFonts w:ascii="Bell MT" w:hAnsi="Bell MT"/>
    </w:rPr>
  </w:style>
  <w:style w:type="paragraph" w:styleId="Heading1">
    <w:name w:val="heading 1"/>
    <w:basedOn w:val="Normal"/>
    <w:next w:val="Normal"/>
    <w:link w:val="Heading1Char"/>
    <w:uiPriority w:val="9"/>
    <w:qFormat/>
    <w:rsid w:val="000B71CE"/>
    <w:pPr>
      <w:keepNext/>
      <w:keepLines/>
      <w:spacing w:before="320" w:after="80"/>
      <w:ind w:firstLine="0"/>
      <w:jc w:val="left"/>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B369E"/>
    <w:pPr>
      <w:keepNext/>
      <w:keepLines/>
      <w:spacing w:before="120" w:after="40"/>
      <w:ind w:firstLine="0"/>
      <w:jc w:val="left"/>
      <w:outlineLvl w:val="1"/>
    </w:pPr>
    <w:rPr>
      <w:rFonts w:eastAsiaTheme="majorEastAsia" w:cstheme="majorBidi"/>
      <w:b/>
      <w:i/>
      <w:szCs w:val="26"/>
    </w:rPr>
  </w:style>
  <w:style w:type="paragraph" w:styleId="Heading3">
    <w:name w:val="heading 3"/>
    <w:basedOn w:val="Normal"/>
    <w:next w:val="Normal"/>
    <w:link w:val="Heading3Char"/>
    <w:uiPriority w:val="9"/>
    <w:semiHidden/>
    <w:unhideWhenUsed/>
    <w:qFormat/>
    <w:rsid w:val="00D94AAB"/>
    <w:pPr>
      <w:keepNext/>
      <w:keepLines/>
      <w:spacing w:before="80" w:after="40"/>
      <w:jc w:val="left"/>
      <w:outlineLvl w:val="2"/>
    </w:pPr>
    <w:rPr>
      <w:rFonts w:eastAsiaTheme="majorEastAsia"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
    <w:name w:val="List Table 2"/>
    <w:basedOn w:val="TableNormal"/>
    <w:uiPriority w:val="47"/>
    <w:rsid w:val="003836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83648"/>
    <w:rPr>
      <w:color w:val="0563C1" w:themeColor="hyperlink"/>
      <w:u w:val="single"/>
    </w:rPr>
  </w:style>
  <w:style w:type="character" w:styleId="UnresolvedMention">
    <w:name w:val="Unresolved Mention"/>
    <w:basedOn w:val="DefaultParagraphFont"/>
    <w:uiPriority w:val="99"/>
    <w:semiHidden/>
    <w:unhideWhenUsed/>
    <w:rsid w:val="00383648"/>
    <w:rPr>
      <w:color w:val="605E5C"/>
      <w:shd w:val="clear" w:color="auto" w:fill="E1DFDD"/>
    </w:rPr>
  </w:style>
  <w:style w:type="paragraph" w:customStyle="1" w:styleId="authorname">
    <w:name w:val="author name"/>
    <w:basedOn w:val="Normal"/>
    <w:link w:val="authornameChar"/>
    <w:qFormat/>
    <w:rsid w:val="00C172FB"/>
    <w:pPr>
      <w:spacing w:before="200" w:after="320"/>
      <w:ind w:firstLine="0"/>
      <w:jc w:val="left"/>
    </w:pPr>
    <w:rPr>
      <w:b/>
    </w:rPr>
  </w:style>
  <w:style w:type="character" w:customStyle="1" w:styleId="authornameChar">
    <w:name w:val="author name Char"/>
    <w:basedOn w:val="DefaultParagraphFont"/>
    <w:link w:val="authorname"/>
    <w:rsid w:val="00C172FB"/>
    <w:rPr>
      <w:rFonts w:ascii="Bell MT" w:hAnsi="Bell MT"/>
      <w:b/>
    </w:rPr>
  </w:style>
  <w:style w:type="paragraph" w:styleId="Title">
    <w:name w:val="Title"/>
    <w:basedOn w:val="Normal"/>
    <w:next w:val="Normal"/>
    <w:link w:val="TitleChar"/>
    <w:uiPriority w:val="10"/>
    <w:qFormat/>
    <w:rsid w:val="00266095"/>
    <w:pPr>
      <w:spacing w:before="520" w:after="520"/>
      <w:ind w:firstLine="0"/>
      <w:contextualSpacing/>
      <w:jc w:val="left"/>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266095"/>
    <w:rPr>
      <w:rFonts w:ascii="Bell MT" w:eastAsiaTheme="majorEastAsia" w:hAnsi="Bell MT" w:cstheme="majorBidi"/>
      <w:b/>
      <w:spacing w:val="-10"/>
      <w:kern w:val="28"/>
      <w:sz w:val="36"/>
      <w:szCs w:val="56"/>
    </w:rPr>
  </w:style>
  <w:style w:type="character" w:customStyle="1" w:styleId="Heading1Char">
    <w:name w:val="Heading 1 Char"/>
    <w:basedOn w:val="DefaultParagraphFont"/>
    <w:link w:val="Heading1"/>
    <w:uiPriority w:val="9"/>
    <w:rsid w:val="000B71CE"/>
    <w:rPr>
      <w:rFonts w:ascii="Bell MT" w:eastAsiaTheme="majorEastAsia" w:hAnsi="Bell MT" w:cstheme="majorBidi"/>
      <w:b/>
      <w:sz w:val="24"/>
      <w:szCs w:val="32"/>
    </w:rPr>
  </w:style>
  <w:style w:type="character" w:customStyle="1" w:styleId="Heading2Char">
    <w:name w:val="Heading 2 Char"/>
    <w:basedOn w:val="DefaultParagraphFont"/>
    <w:link w:val="Heading2"/>
    <w:uiPriority w:val="9"/>
    <w:rsid w:val="00DB369E"/>
    <w:rPr>
      <w:rFonts w:ascii="Bell MT" w:eastAsiaTheme="majorEastAsia" w:hAnsi="Bell MT" w:cstheme="majorBidi"/>
      <w:b/>
      <w:i/>
      <w:szCs w:val="26"/>
    </w:rPr>
  </w:style>
  <w:style w:type="character" w:customStyle="1" w:styleId="Heading3Char">
    <w:name w:val="Heading 3 Char"/>
    <w:basedOn w:val="DefaultParagraphFont"/>
    <w:link w:val="Heading3"/>
    <w:uiPriority w:val="9"/>
    <w:semiHidden/>
    <w:rsid w:val="00D94AAB"/>
    <w:rPr>
      <w:rFonts w:ascii="Bell MT" w:eastAsiaTheme="majorEastAsia" w:hAnsi="Bell MT" w:cstheme="majorBidi"/>
      <w:i/>
      <w:sz w:val="24"/>
      <w:szCs w:val="24"/>
    </w:rPr>
  </w:style>
  <w:style w:type="paragraph" w:styleId="ListParagraph">
    <w:name w:val="List Paragraph"/>
    <w:basedOn w:val="Normal"/>
    <w:uiPriority w:val="34"/>
    <w:qFormat/>
    <w:rsid w:val="00DB7F8E"/>
    <w:pPr>
      <w:ind w:left="720"/>
      <w:contextualSpacing/>
    </w:pPr>
  </w:style>
  <w:style w:type="paragraph" w:styleId="NoSpacing">
    <w:name w:val="No Spacing"/>
    <w:uiPriority w:val="1"/>
    <w:qFormat/>
    <w:rsid w:val="00A92F34"/>
    <w:pPr>
      <w:spacing w:after="0" w:line="240" w:lineRule="auto"/>
      <w:jc w:val="both"/>
    </w:pPr>
    <w:rPr>
      <w:rFonts w:ascii="Bell MT" w:hAnsi="Bell MT"/>
    </w:rPr>
  </w:style>
  <w:style w:type="paragraph" w:styleId="Header">
    <w:name w:val="header"/>
    <w:basedOn w:val="Normal"/>
    <w:link w:val="HeaderChar"/>
    <w:uiPriority w:val="99"/>
    <w:unhideWhenUsed/>
    <w:rsid w:val="00AA2969"/>
    <w:pPr>
      <w:tabs>
        <w:tab w:val="center" w:pos="4513"/>
        <w:tab w:val="right" w:pos="9026"/>
      </w:tabs>
    </w:pPr>
  </w:style>
  <w:style w:type="character" w:customStyle="1" w:styleId="HeaderChar">
    <w:name w:val="Header Char"/>
    <w:basedOn w:val="DefaultParagraphFont"/>
    <w:link w:val="Header"/>
    <w:uiPriority w:val="99"/>
    <w:rsid w:val="00AA2969"/>
    <w:rPr>
      <w:rFonts w:ascii="Bell MT" w:hAnsi="Bell MT"/>
    </w:rPr>
  </w:style>
  <w:style w:type="paragraph" w:styleId="Footer">
    <w:name w:val="footer"/>
    <w:basedOn w:val="Normal"/>
    <w:link w:val="FooterChar"/>
    <w:uiPriority w:val="99"/>
    <w:unhideWhenUsed/>
    <w:rsid w:val="00AA2969"/>
    <w:pPr>
      <w:tabs>
        <w:tab w:val="center" w:pos="4513"/>
        <w:tab w:val="right" w:pos="9026"/>
      </w:tabs>
    </w:pPr>
  </w:style>
  <w:style w:type="character" w:customStyle="1" w:styleId="FooterChar">
    <w:name w:val="Footer Char"/>
    <w:basedOn w:val="DefaultParagraphFont"/>
    <w:link w:val="Footer"/>
    <w:uiPriority w:val="99"/>
    <w:rsid w:val="00AA2969"/>
    <w:rPr>
      <w:rFonts w:ascii="Bell MT" w:hAnsi="Bell MT"/>
    </w:rPr>
  </w:style>
  <w:style w:type="table" w:styleId="TableGrid">
    <w:name w:val="Table Grid"/>
    <w:basedOn w:val="TableNormal"/>
    <w:uiPriority w:val="39"/>
    <w:rsid w:val="002A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4history">
    <w:name w:val="MDPI_1.4_history"/>
    <w:basedOn w:val="Normal"/>
    <w:next w:val="Normal"/>
    <w:rsid w:val="00DF21F8"/>
    <w:pPr>
      <w:adjustRightInd w:val="0"/>
      <w:snapToGrid w:val="0"/>
      <w:spacing w:line="240" w:lineRule="atLeast"/>
      <w:ind w:right="113" w:firstLine="0"/>
      <w:jc w:val="left"/>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rsid w:val="00DF21F8"/>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72Copyright">
    <w:name w:val="MDPI_7.2_Copyright"/>
    <w:rsid w:val="00DF21F8"/>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PlainTable2">
    <w:name w:val="Plain Table 2"/>
    <w:basedOn w:val="TableNormal"/>
    <w:uiPriority w:val="42"/>
    <w:rsid w:val="004274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E02BA0"/>
    <w:rPr>
      <w:b/>
      <w:bCs/>
    </w:rPr>
  </w:style>
  <w:style w:type="character" w:styleId="CommentReference">
    <w:name w:val="annotation reference"/>
    <w:basedOn w:val="DefaultParagraphFont"/>
    <w:uiPriority w:val="99"/>
    <w:semiHidden/>
    <w:unhideWhenUsed/>
    <w:rsid w:val="00EB2883"/>
    <w:rPr>
      <w:sz w:val="16"/>
      <w:szCs w:val="16"/>
    </w:rPr>
  </w:style>
  <w:style w:type="paragraph" w:styleId="CommentText">
    <w:name w:val="annotation text"/>
    <w:basedOn w:val="Normal"/>
    <w:link w:val="CommentTextChar"/>
    <w:uiPriority w:val="99"/>
    <w:unhideWhenUsed/>
    <w:rsid w:val="00EB2883"/>
    <w:rPr>
      <w:sz w:val="20"/>
      <w:szCs w:val="20"/>
    </w:rPr>
  </w:style>
  <w:style w:type="character" w:customStyle="1" w:styleId="CommentTextChar">
    <w:name w:val="Comment Text Char"/>
    <w:basedOn w:val="DefaultParagraphFont"/>
    <w:link w:val="CommentText"/>
    <w:uiPriority w:val="99"/>
    <w:rsid w:val="00EB2883"/>
    <w:rPr>
      <w:rFonts w:ascii="Bell MT" w:hAnsi="Bell MT"/>
      <w:sz w:val="20"/>
      <w:szCs w:val="20"/>
    </w:rPr>
  </w:style>
  <w:style w:type="paragraph" w:styleId="CommentSubject">
    <w:name w:val="annotation subject"/>
    <w:basedOn w:val="CommentText"/>
    <w:next w:val="CommentText"/>
    <w:link w:val="CommentSubjectChar"/>
    <w:uiPriority w:val="99"/>
    <w:semiHidden/>
    <w:unhideWhenUsed/>
    <w:rsid w:val="00EB2883"/>
    <w:rPr>
      <w:b/>
      <w:bCs/>
    </w:rPr>
  </w:style>
  <w:style w:type="character" w:customStyle="1" w:styleId="CommentSubjectChar">
    <w:name w:val="Comment Subject Char"/>
    <w:basedOn w:val="CommentTextChar"/>
    <w:link w:val="CommentSubject"/>
    <w:uiPriority w:val="99"/>
    <w:semiHidden/>
    <w:rsid w:val="00EB2883"/>
    <w:rPr>
      <w:rFonts w:ascii="Bell MT" w:hAnsi="Bell MT"/>
      <w:b/>
      <w:bCs/>
      <w:sz w:val="20"/>
      <w:szCs w:val="20"/>
    </w:rPr>
  </w:style>
  <w:style w:type="paragraph" w:styleId="NormalWeb">
    <w:name w:val="Normal (Web)"/>
    <w:basedOn w:val="Normal"/>
    <w:uiPriority w:val="99"/>
    <w:semiHidden/>
    <w:unhideWhenUsed/>
    <w:rsid w:val="000856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1/jama.2025.1597" TargetMode="External"/><Relationship Id="rId26" Type="http://schemas.openxmlformats.org/officeDocument/2006/relationships/hyperlink" Target="https://doi.org/10.3238/arztebl.m2023.0028" TargetMode="External"/><Relationship Id="rId3" Type="http://schemas.openxmlformats.org/officeDocument/2006/relationships/styles" Target="styles.xml"/><Relationship Id="rId21" Type="http://schemas.openxmlformats.org/officeDocument/2006/relationships/hyperlink" Target="https://doi.org/10.59003/nhj.v4i12.1461" TargetMode="External"/><Relationship Id="rId34" Type="http://schemas.openxmlformats.org/officeDocument/2006/relationships/hyperlink" Target="https://creativecommons.org/licenses/by-sa/4.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4103/pto.pto_2_24" TargetMode="External"/><Relationship Id="rId25" Type="http://schemas.openxmlformats.org/officeDocument/2006/relationships/hyperlink" Target="https://doi.org/10.3390/jcm13195852"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i.org/10.1080/17469899.2025.2550689" TargetMode="External"/><Relationship Id="rId20" Type="http://schemas.openxmlformats.org/officeDocument/2006/relationships/hyperlink" Target="https://doi.org/10.1016/j.jcrs.2016.06.029" TargetMode="External"/><Relationship Id="rId29" Type="http://schemas.openxmlformats.org/officeDocument/2006/relationships/hyperlink" Target="https://doi.org/10.6026/973206300211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90/diagnostics12020243" TargetMode="External"/><Relationship Id="rId32" Type="http://schemas.openxmlformats.org/officeDocument/2006/relationships/hyperlink" Target="https://doi.org/10.2147/OPTH.S344465" TargetMode="External"/><Relationship Id="rId5" Type="http://schemas.openxmlformats.org/officeDocument/2006/relationships/webSettings" Target="webSettings.xml"/><Relationship Id="rId15" Type="http://schemas.openxmlformats.org/officeDocument/2006/relationships/hyperlink" Target="https://doi.org/10.33086/mhsj.v4i1.1444" TargetMode="External"/><Relationship Id="rId23" Type="http://schemas.openxmlformats.org/officeDocument/2006/relationships/hyperlink" Target="https://doi.org/10.1097/j.jcrs.0000000000001466" TargetMode="External"/><Relationship Id="rId28" Type="http://schemas.openxmlformats.org/officeDocument/2006/relationships/hyperlink" Target="https://doi.org/10.1186/s12886-024-03347-3"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016/j.aopr.2021.100008" TargetMode="External"/><Relationship Id="rId31" Type="http://schemas.openxmlformats.org/officeDocument/2006/relationships/hyperlink" Target="https://doi.org/10.54518/rh.6.2.2026.108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dx.doi.org/10.30872/jkm.v7i3.4941" TargetMode="External"/><Relationship Id="rId27" Type="http://schemas.openxmlformats.org/officeDocument/2006/relationships/hyperlink" Target="https://doi.org/10.57214/jka.v8i1.757" TargetMode="External"/><Relationship Id="rId30" Type="http://schemas.openxmlformats.org/officeDocument/2006/relationships/hyperlink" Target="https://doi.org/10.1115/1.4068677" TargetMode="External"/><Relationship Id="rId35" Type="http://schemas.openxmlformats.org/officeDocument/2006/relationships/fontTable" Target="fontTable.xml"/><Relationship Id="rId8" Type="http://schemas.openxmlformats.org/officeDocument/2006/relationships/hyperlink" Target="file:///Users/muhammadfayyadl/Documents/3.%20SIGMA/6.%20RH/6.%20Juni%202026/4.%20terbit/34.%201382/azelyarindu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94A9-F78F-4519-B29B-7C57D98A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6504</Words>
  <Characters>37076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2026-06-27T01:53:00Z</dcterms:created>
  <dcterms:modified xsi:type="dcterms:W3CDTF">2026-06-27T02:06:00Z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f5ebf508-15ba-4394-a4bd-1b8bc54ddf68</vt:lpwstr>
  </property>
</Properties>
</file>